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62026_080954.xml.htm"/>
      <w:bookmarkStart w:id="1" w:name="ksform409162026_0809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Brottem John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ALAMAR BIOSCIENCES,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47071 BAYSIDE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FREMONT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Alamar Biosciences, Inc.</w:t>
              </w:r>
            </w:hyperlink>
            <w:r>
              <w:rPr/>
              <w:t xml:space="preserve"> [ </w:t>
            </w:r>
            <w:r>
              <w:rPr>
                <w:rFonts w:ascii="Times;serif" w:hAnsi="Times;serif"/>
                <w:color w:val="0000FF"/>
                <w:sz w:val="24"/>
                <w:shd w:fill="FFFFFF" w:val="clear"/>
              </w:rPr>
              <w:t>ALMR</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29,000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27.99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restricted stock unit ("RSU") award. One-quarter of the RSUs will vest on November 21, 2027 and the remainder of the RSUs will vest in twelve equal quarterly installments thereafter, subject to the reporting person's continuous service as of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One-quarter of the total shares subject to the option will vest on September 14, 2027 and the remainder of the shares subject to the grant will vest in 36 equal monthly installments thereafter, subject to the reporting person's continuous service as of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Timothy White,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3381" TargetMode="External"/><Relationship Id="rId5" Type="http://schemas.openxmlformats.org/officeDocument/2006/relationships/hyperlink" Target="http://www.sec.gov/cgi-bin/browse-edgar?action=getcompany&amp;CIK=00021042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675</Words>
  <Characters>3654</Characters>
  <CharactersWithSpaces>4248</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