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680d424b4.htm"/>
        <w:bookmarkStart w:id="1" w:name="ksd39680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424(b)(4) </w:t>
        <w:br/>
        <w:t>Registration No. 333-294697</w: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Prospectus </w:t>
      </w:r>
    </w:p>
    <w:p>
      <w:pPr>
        <w:pStyle w:val="TextBody"/>
        <w:bidi w:val="0"/>
        <w:spacing w:before="160" w:after="0"/>
        <w:jc w:val="left"/>
        <w:rPr>
          <w:rFonts w:ascii="arial" w:hAnsi="arial"/>
          <w:b/>
          <w:i/>
          <w:sz w:val="36"/>
        </w:rPr>
      </w:pPr>
      <w:r>
        <w:rPr>
          <w:rFonts w:ascii="arial" w:hAnsi="arial"/>
          <w:b/>
          <w:i/>
          <w:sz w:val="36"/>
        </w:rPr>
        <w:t xml:space="preserve">11,250,000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3657600" cy="9734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973455"/>
                    </a:xfrm>
                    <a:prstGeom prst="rect">
                      <a:avLst/>
                    </a:prstGeom>
                  </pic:spPr>
                </pic:pic>
              </a:graphicData>
            </a:graphic>
          </wp:inline>
        </w:drawing>
      </w:r>
      <w:r>
        <w:rPr/>
        <w:t xml:space="preserve"> </w:t>
      </w:r>
    </w:p>
    <w:p>
      <w:pPr>
        <w:pStyle w:val="TextBody"/>
        <w:bidi w:val="0"/>
        <w:spacing w:before="160" w:after="0"/>
        <w:jc w:val="left"/>
        <w:rPr>
          <w:rFonts w:ascii="arial" w:hAnsi="arial"/>
          <w:b/>
          <w:i/>
          <w:sz w:val="36"/>
        </w:rPr>
      </w:pPr>
      <w:r>
        <w:rPr>
          <w:rFonts w:ascii="arial" w:hAnsi="arial"/>
          <w:b/>
          <w:i/>
          <w:sz w:val="36"/>
        </w:rPr>
        <w:t xml:space="preserve">Common stock </w:t>
      </w:r>
    </w:p>
    <w:p>
      <w:pPr>
        <w:pStyle w:val="TextBody"/>
        <w:bidi w:val="0"/>
        <w:spacing w:before="320" w:after="0"/>
        <w:jc w:val="left"/>
        <w:rPr>
          <w:rFonts w:ascii="arial" w:hAnsi="arial"/>
          <w:sz w:val="20"/>
        </w:rPr>
      </w:pPr>
      <w:r>
        <w:rPr>
          <w:rFonts w:ascii="arial" w:hAnsi="arial"/>
          <w:sz w:val="20"/>
        </w:rPr>
        <w:t xml:space="preserve">This is an initial public offering of shares of common stock of Alamar Biosciences, Inc. We are offering 11,250,000 shares of our common stock to be sold in the offering. The initial public offering price is $17.00 per share.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Our common stock has been approved for listing on The Nasdaq Global Select Market (“Nasdaq”) under the trading symbol “ALMR.” </w:t>
      </w:r>
    </w:p>
    <w:p>
      <w:pPr>
        <w:pStyle w:val="TextBody"/>
        <w:bidi w:val="0"/>
        <w:spacing w:before="160" w:after="0"/>
        <w:jc w:val="left"/>
        <w:rPr>
          <w:rFonts w:ascii="arial" w:hAnsi="arial"/>
          <w:b/>
          <w:sz w:val="20"/>
        </w:rPr>
      </w:pPr>
      <w:r>
        <w:rPr>
          <w:rFonts w:ascii="arial" w:hAnsi="arial"/>
          <w:b/>
          <w:sz w:val="20"/>
        </w:rPr>
        <w:t xml:space="preserve">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3"/>
        <w:gridCol w:w="311"/>
        <w:gridCol w:w="202"/>
        <w:gridCol w:w="888"/>
        <w:gridCol w:w="60"/>
        <w:gridCol w:w="311"/>
        <w:gridCol w:w="140"/>
        <w:gridCol w:w="1388"/>
        <w:gridCol w:w="62"/>
      </w:tblGrid>
      <w:tr>
        <w:trPr/>
        <w:tc>
          <w:tcPr>
            <w:tcW w:w="684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843" w:type="dxa"/>
            <w:tcBorders>
              <w:top w:val="single" w:sz="16" w:space="0" w:color="000000"/>
            </w:tcBorders>
            <w:tcMar>
              <w:top w:w="28" w:type="dxa"/>
            </w:tcMar>
            <w:vAlign w:val="center"/>
          </w:tcPr>
          <w:p>
            <w:pPr>
              <w:pStyle w:val="TableContents"/>
              <w:bidi w:val="0"/>
              <w:spacing w:before="0" w:after="283"/>
              <w:jc w:val="left"/>
              <w:rPr/>
            </w:pPr>
            <w:r>
              <w:rPr/>
              <w:t> </w:t>
            </w:r>
          </w:p>
        </w:tc>
        <w:tc>
          <w:tcPr>
            <w:tcW w:w="146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0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843" w:type="dxa"/>
            <w:tcBorders>
              <w:bottom w:val="single" w:sz="2" w:space="0" w:color="000000"/>
            </w:tcBorders>
            <w:tcMar>
              <w:bottom w:w="28" w:type="dxa"/>
            </w:tcMar>
            <w:vAlign w:val="bottom"/>
          </w:tcPr>
          <w:p>
            <w:pPr>
              <w:pStyle w:val="TableContents"/>
              <w:bidi w:val="0"/>
              <w:spacing w:before="0" w:after="283"/>
              <w:jc w:val="left"/>
              <w:rPr/>
            </w:pPr>
            <w:r>
              <w:rPr/>
              <w:t>  </w:t>
            </w:r>
          </w:p>
        </w:tc>
        <w:tc>
          <w:tcPr>
            <w:tcW w:w="311" w:type="dxa"/>
            <w:tcBorders>
              <w:bottom w:val="single" w:sz="2" w:space="0" w:color="000000"/>
            </w:tcBorders>
            <w:tcMar>
              <w:bottom w:w="28" w:type="dxa"/>
            </w:tcMar>
            <w:vAlign w:val="bottom"/>
          </w:tcPr>
          <w:p>
            <w:pPr>
              <w:pStyle w:val="TableContents"/>
              <w:bidi w:val="0"/>
              <w:spacing w:before="0" w:after="283"/>
              <w:jc w:val="left"/>
              <w:rPr/>
            </w:pPr>
            <w:r>
              <w:rPr/>
              <w:t>  </w:t>
            </w:r>
          </w:p>
        </w:tc>
        <w:tc>
          <w:tcPr>
            <w:tcW w:w="1090" w:type="dxa"/>
            <w:gridSpan w:val="2"/>
            <w:tcBorders>
              <w:bottom w:val="single" w:sz="2" w:space="0" w:color="000000"/>
            </w:tcBorders>
            <w:tcMar>
              <w:bottom w:w="28" w:type="dxa"/>
            </w:tcMar>
            <w:vAlign w:val="bottom"/>
          </w:tcPr>
          <w:p>
            <w:pPr>
              <w:pStyle w:val="TableContents"/>
              <w:bidi w:val="0"/>
              <w:spacing w:before="0" w:after="283"/>
              <w:jc w:val="left"/>
              <w:rPr>
                <w:b/>
              </w:rPr>
            </w:pPr>
            <w:r>
              <w:rPr>
                <w:b/>
              </w:rPr>
              <w:t>Per 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1" w:type="dxa"/>
            <w:tcBorders>
              <w:bottom w:val="single" w:sz="2" w:space="0" w:color="000000"/>
            </w:tcBorders>
            <w:tcMar>
              <w:bottom w:w="28" w:type="dxa"/>
            </w:tcMar>
            <w:vAlign w:val="bottom"/>
          </w:tcPr>
          <w:p>
            <w:pPr>
              <w:pStyle w:val="TableContents"/>
              <w:bidi w:val="0"/>
              <w:spacing w:before="0" w:after="283"/>
              <w:jc w:val="left"/>
              <w:rPr/>
            </w:pPr>
            <w:r>
              <w:rPr/>
              <w:t>  </w:t>
            </w:r>
          </w:p>
        </w:tc>
        <w:tc>
          <w:tcPr>
            <w:tcW w:w="1528" w:type="dxa"/>
            <w:gridSpan w:val="2"/>
            <w:tcBorders>
              <w:bottom w:val="single" w:sz="2" w:space="0" w:color="000000"/>
            </w:tcBorders>
            <w:tcMar>
              <w:bottom w:w="28" w:type="dxa"/>
            </w:tcMar>
            <w:vAlign w:val="bottom"/>
          </w:tcPr>
          <w:p>
            <w:pPr>
              <w:pStyle w:val="TableContents"/>
              <w:bidi w:val="0"/>
              <w:spacing w:before="0" w:after="283"/>
              <w:jc w:val="left"/>
              <w:rPr>
                <w:b/>
              </w:rPr>
            </w:pPr>
            <w:r>
              <w:rPr>
                <w:b/>
              </w:rPr>
              <w:t>Total</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50" w:hRule="atLeast"/>
        </w:trPr>
        <w:tc>
          <w:tcPr>
            <w:tcW w:w="6843" w:type="dxa"/>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r>
      <w:tr>
        <w:trPr/>
        <w:tc>
          <w:tcPr>
            <w:tcW w:w="6843" w:type="dxa"/>
            <w:tcBorders/>
            <w:shd w:fill="CCEEFF" w:val="clear"/>
          </w:tcPr>
          <w:p>
            <w:pPr>
              <w:pStyle w:val="TableContents"/>
              <w:bidi w:val="0"/>
              <w:spacing w:before="0" w:after="0"/>
              <w:jc w:val="left"/>
              <w:rPr>
                <w:rFonts w:ascii="arial" w:hAnsi="arial"/>
                <w:sz w:val="20"/>
              </w:rPr>
            </w:pPr>
            <w:r>
              <w:rPr>
                <w:rFonts w:ascii="arial" w:hAnsi="arial"/>
                <w:sz w:val="20"/>
              </w:rPr>
              <w:t>Initial public offering price</w:t>
            </w:r>
          </w:p>
        </w:tc>
        <w:tc>
          <w:tcPr>
            <w:tcW w:w="311" w:type="dxa"/>
            <w:tcBorders/>
            <w:shd w:fill="CCEEFF" w:val="clear"/>
            <w:vAlign w:val="bottom"/>
          </w:tcPr>
          <w:p>
            <w:pPr>
              <w:pStyle w:val="TableContents"/>
              <w:bidi w:val="0"/>
              <w:spacing w:before="0" w:after="283"/>
              <w:jc w:val="left"/>
              <w:rPr/>
            </w:pPr>
            <w:r>
              <w:rPr/>
              <w:t>  </w:t>
            </w:r>
          </w:p>
        </w:tc>
        <w:tc>
          <w:tcPr>
            <w:tcW w:w="202" w:type="dxa"/>
            <w:tcBorders/>
            <w:shd w:fill="CCEEFF" w:val="clear"/>
          </w:tcPr>
          <w:p>
            <w:pPr>
              <w:pStyle w:val="TableContents"/>
              <w:bidi w:val="0"/>
              <w:spacing w:before="0" w:after="283"/>
              <w:jc w:val="left"/>
              <w:rPr/>
            </w:pPr>
            <w:r>
              <w:rPr/>
              <w:t>$</w:t>
            </w:r>
          </w:p>
        </w:tc>
        <w:tc>
          <w:tcPr>
            <w:tcW w:w="888" w:type="dxa"/>
            <w:tcBorders/>
            <w:shd w:fill="CCEEFF" w:val="clear"/>
          </w:tcPr>
          <w:p>
            <w:pPr>
              <w:pStyle w:val="TableContents"/>
              <w:bidi w:val="0"/>
              <w:spacing w:before="0" w:after="283"/>
              <w:jc w:val="right"/>
              <w:rPr/>
            </w:pPr>
            <w:r>
              <w:rPr/>
              <w:t>17.00</w:t>
            </w:r>
          </w:p>
        </w:tc>
        <w:tc>
          <w:tcPr>
            <w:tcW w:w="60" w:type="dxa"/>
            <w:tcBorders/>
            <w:shd w:fill="CCEEFF" w:val="clear"/>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388" w:type="dxa"/>
            <w:tcBorders/>
            <w:shd w:fill="CCEEFF" w:val="clear"/>
          </w:tcPr>
          <w:p>
            <w:pPr>
              <w:pStyle w:val="TableContents"/>
              <w:bidi w:val="0"/>
              <w:spacing w:before="0" w:after="283"/>
              <w:jc w:val="right"/>
              <w:rPr/>
            </w:pPr>
            <w:r>
              <w:rPr/>
              <w:t>191,250,000</w:t>
            </w:r>
          </w:p>
        </w:tc>
        <w:tc>
          <w:tcPr>
            <w:tcW w:w="62" w:type="dxa"/>
            <w:tcBorders/>
            <w:shd w:fill="CCEEFF" w:val="clear"/>
          </w:tcPr>
          <w:p>
            <w:pPr>
              <w:pStyle w:val="TableContents"/>
              <w:bidi w:val="0"/>
              <w:spacing w:before="0" w:after="283"/>
              <w:jc w:val="left"/>
              <w:rPr/>
            </w:pPr>
            <w:r>
              <w:rPr/>
              <w:t> </w:t>
            </w:r>
          </w:p>
        </w:tc>
      </w:tr>
      <w:tr>
        <w:trPr>
          <w:trHeight w:val="150" w:hRule="atLeast"/>
        </w:trPr>
        <w:tc>
          <w:tcPr>
            <w:tcW w:w="6843" w:type="dxa"/>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r>
      <w:tr>
        <w:trPr/>
        <w:tc>
          <w:tcPr>
            <w:tcW w:w="6843"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311" w:type="dxa"/>
            <w:tcBorders/>
            <w:vAlign w:val="bottom"/>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888" w:type="dxa"/>
            <w:tcBorders/>
          </w:tcPr>
          <w:p>
            <w:pPr>
              <w:pStyle w:val="TableContents"/>
              <w:bidi w:val="0"/>
              <w:spacing w:before="0" w:after="283"/>
              <w:jc w:val="right"/>
              <w:rPr/>
            </w:pPr>
            <w:r>
              <w:rPr/>
              <w:t>1.19</w:t>
            </w:r>
          </w:p>
        </w:tc>
        <w:tc>
          <w:tcPr>
            <w:tcW w:w="60" w:type="dxa"/>
            <w:tcBorders/>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88" w:type="dxa"/>
            <w:tcBorders/>
          </w:tcPr>
          <w:p>
            <w:pPr>
              <w:pStyle w:val="TableContents"/>
              <w:bidi w:val="0"/>
              <w:spacing w:before="0" w:after="283"/>
              <w:jc w:val="right"/>
              <w:rPr/>
            </w:pPr>
            <w:r>
              <w:rPr/>
              <w:t>13,387,500</w:t>
            </w:r>
          </w:p>
        </w:tc>
        <w:tc>
          <w:tcPr>
            <w:tcW w:w="62" w:type="dxa"/>
            <w:tcBorders/>
          </w:tcPr>
          <w:p>
            <w:pPr>
              <w:pStyle w:val="TableContents"/>
              <w:bidi w:val="0"/>
              <w:spacing w:before="0" w:after="283"/>
              <w:jc w:val="left"/>
              <w:rPr/>
            </w:pPr>
            <w:r>
              <w:rPr/>
              <w:t> </w:t>
            </w:r>
          </w:p>
        </w:tc>
      </w:tr>
      <w:tr>
        <w:trPr>
          <w:trHeight w:val="150" w:hRule="atLeast"/>
        </w:trPr>
        <w:tc>
          <w:tcPr>
            <w:tcW w:w="6843" w:type="dxa"/>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r>
      <w:tr>
        <w:trPr/>
        <w:tc>
          <w:tcPr>
            <w:tcW w:w="6843"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Proceeds to Alamar Biosciences, Inc., before expenses</w:t>
            </w:r>
          </w:p>
        </w:tc>
        <w:tc>
          <w:tcPr>
            <w:tcW w:w="31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888" w:type="dxa"/>
            <w:tcBorders>
              <w:bottom w:val="single" w:sz="2" w:space="0" w:color="000000"/>
            </w:tcBorders>
            <w:shd w:fill="CCEEFF" w:val="clear"/>
            <w:tcMar>
              <w:bottom w:w="28" w:type="dxa"/>
            </w:tcMar>
          </w:tcPr>
          <w:p>
            <w:pPr>
              <w:pStyle w:val="TableContents"/>
              <w:bidi w:val="0"/>
              <w:spacing w:before="0" w:after="283"/>
              <w:jc w:val="right"/>
              <w:rPr/>
            </w:pPr>
            <w:r>
              <w:rPr/>
              <w:t>15.81</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1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388" w:type="dxa"/>
            <w:tcBorders>
              <w:bottom w:val="single" w:sz="2" w:space="0" w:color="000000"/>
            </w:tcBorders>
            <w:shd w:fill="CCEEFF" w:val="clear"/>
            <w:tcMar>
              <w:bottom w:w="28" w:type="dxa"/>
            </w:tcMar>
          </w:tcPr>
          <w:p>
            <w:pPr>
              <w:pStyle w:val="TableContents"/>
              <w:bidi w:val="0"/>
              <w:spacing w:before="0" w:after="283"/>
              <w:jc w:val="right"/>
              <w:rPr/>
            </w:pPr>
            <w:r>
              <w:rPr/>
              <w:t>177,862,500</w:t>
            </w:r>
          </w:p>
        </w:tc>
        <w:tc>
          <w:tcPr>
            <w:tcW w:w="62" w:type="dxa"/>
            <w:tcBorders>
              <w:bottom w:val="single" w:sz="2"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See the section titled “Underwriting” for a description of the compensation payable to the underwriters. </w:t>
            </w:r>
          </w:p>
        </w:tc>
      </w:tr>
    </w:tbl>
    <w:p>
      <w:pPr>
        <w:pStyle w:val="TextBody"/>
        <w:bidi w:val="0"/>
        <w:spacing w:before="160" w:after="0"/>
        <w:jc w:val="left"/>
        <w:rPr>
          <w:rFonts w:ascii="arial" w:hAnsi="arial"/>
          <w:sz w:val="20"/>
        </w:rPr>
      </w:pPr>
      <w:r>
        <w:rPr>
          <w:rFonts w:ascii="arial" w:hAnsi="arial"/>
          <w:sz w:val="20"/>
        </w:rPr>
        <w:t xml:space="preserve">We have granted the underwriters an option for a period of 30 days after the date of this prospectus to purchase up to 1,687,500 additional shares of common stock at the initial public offering price, less the underwriting discounts and commissions. </w:t>
      </w:r>
    </w:p>
    <w:p>
      <w:pPr>
        <w:pStyle w:val="TextBody"/>
        <w:bidi w:val="0"/>
        <w:spacing w:before="160" w:after="0"/>
        <w:jc w:val="left"/>
        <w:rPr/>
      </w:pPr>
      <w:r>
        <w:rPr>
          <w:rFonts w:ascii="arial" w:hAnsi="arial"/>
          <w:b/>
          <w:sz w:val="20"/>
        </w:rPr>
        <w:t>Investing in our common stock involves a high degree of risk. Please see the section titled “</w:t>
      </w:r>
      <w:hyperlink w:anchor="toc39680_2">
        <w:r>
          <w:rPr>
            <w:rStyle w:val="InternetLink"/>
            <w:rFonts w:ascii="arial" w:hAnsi="arial"/>
            <w:b/>
            <w:sz w:val="20"/>
          </w:rPr>
          <w:t>Risk factors</w:t>
        </w:r>
      </w:hyperlink>
      <w:r>
        <w:rPr>
          <w:rFonts w:ascii="arial" w:hAnsi="arial"/>
          <w:b/>
          <w:sz w:val="20"/>
        </w:rPr>
        <w:t xml:space="preserve">” beginning on page 19. </w:t>
      </w:r>
    </w:p>
    <w:p>
      <w:pPr>
        <w:pStyle w:val="TextBody"/>
        <w:bidi w:val="0"/>
        <w:spacing w:before="16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before="160" w:after="0"/>
        <w:jc w:val="left"/>
        <w:rPr>
          <w:rFonts w:ascii="arial" w:hAnsi="arial"/>
          <w:sz w:val="20"/>
        </w:rPr>
      </w:pPr>
      <w:r>
        <w:rPr>
          <w:rFonts w:ascii="arial" w:hAnsi="arial"/>
          <w:sz w:val="20"/>
        </w:rPr>
        <w:t xml:space="preserve">The underwriters expect to deliver the shares of common stock to the purchasers on or about April 20,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0"/>
        <w:gridCol w:w="121"/>
        <w:gridCol w:w="3286"/>
        <w:gridCol w:w="121"/>
        <w:gridCol w:w="3137"/>
      </w:tblGrid>
      <w:tr>
        <w:trPr/>
        <w:tc>
          <w:tcPr>
            <w:tcW w:w="35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left"/>
              <w:rPr>
                <w:b/>
              </w:rPr>
            </w:pPr>
            <w:r>
              <w:rPr>
                <w:b/>
              </w:rPr>
              <w:t>J.P. Morgan</w:t>
            </w:r>
          </w:p>
        </w:tc>
        <w:tc>
          <w:tcPr>
            <w:tcW w:w="121" w:type="dxa"/>
            <w:tcBorders/>
            <w:vAlign w:val="bottom"/>
          </w:tcPr>
          <w:p>
            <w:pPr>
              <w:pStyle w:val="TableContents"/>
              <w:bidi w:val="0"/>
              <w:spacing w:before="0" w:after="283"/>
              <w:jc w:val="left"/>
              <w:rPr/>
            </w:pPr>
            <w:r>
              <w:rPr/>
              <w:t>  </w:t>
            </w:r>
          </w:p>
        </w:tc>
        <w:tc>
          <w:tcPr>
            <w:tcW w:w="3286" w:type="dxa"/>
            <w:tcBorders/>
            <w:vAlign w:val="bottom"/>
          </w:tcPr>
          <w:p>
            <w:pPr>
              <w:pStyle w:val="TableContents"/>
              <w:bidi w:val="0"/>
              <w:spacing w:before="0" w:after="283"/>
              <w:jc w:val="left"/>
              <w:rPr>
                <w:b/>
              </w:rPr>
            </w:pPr>
            <w:r>
              <w:rPr>
                <w:b/>
              </w:rPr>
              <w:t>BofA Securities</w:t>
            </w:r>
          </w:p>
        </w:tc>
        <w:tc>
          <w:tcPr>
            <w:tcW w:w="121"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right"/>
              <w:rPr>
                <w:b/>
              </w:rPr>
            </w:pPr>
            <w:r>
              <w:rPr>
                <w:b/>
              </w:rPr>
              <w:t>TD Cowen</w:t>
            </w:r>
          </w:p>
        </w:tc>
      </w:tr>
      <w:tr>
        <w:trPr>
          <w:trHeight w:val="240" w:hRule="atLeast"/>
        </w:trPr>
        <w:tc>
          <w:tcPr>
            <w:tcW w:w="6947" w:type="dxa"/>
            <w:gridSpan w:val="3"/>
            <w:tcBorders/>
            <w:vAlign w:val="center"/>
          </w:tcPr>
          <w:p>
            <w:pPr>
              <w:pStyle w:val="TableContents"/>
              <w:bidi w:val="0"/>
              <w:spacing w:before="0" w:after="283"/>
              <w:jc w:val="left"/>
              <w:rPr>
                <w:sz w:val="4"/>
                <w:szCs w:val="4"/>
              </w:rPr>
            </w:pPr>
            <w:r>
              <w:rPr>
                <w:sz w:val="4"/>
                <w:szCs w:val="4"/>
              </w:rPr>
            </w:r>
          </w:p>
        </w:tc>
        <w:tc>
          <w:tcPr>
            <w:tcW w:w="3258" w:type="dxa"/>
            <w:gridSpan w:val="2"/>
            <w:tcBorders/>
            <w:vAlign w:val="center"/>
          </w:tcPr>
          <w:p>
            <w:pPr>
              <w:pStyle w:val="TableContents"/>
              <w:bidi w:val="0"/>
              <w:spacing w:before="0" w:after="283"/>
              <w:jc w:val="left"/>
              <w:rPr>
                <w:sz w:val="4"/>
                <w:szCs w:val="4"/>
              </w:rPr>
            </w:pPr>
            <w:r>
              <w:rPr>
                <w:sz w:val="4"/>
                <w:szCs w:val="4"/>
              </w:rPr>
            </w:r>
          </w:p>
        </w:tc>
      </w:tr>
      <w:tr>
        <w:trPr/>
        <w:tc>
          <w:tcPr>
            <w:tcW w:w="6947" w:type="dxa"/>
            <w:gridSpan w:val="3"/>
            <w:tcBorders/>
            <w:vAlign w:val="bottom"/>
          </w:tcPr>
          <w:p>
            <w:pPr>
              <w:pStyle w:val="TableContents"/>
              <w:bidi w:val="0"/>
              <w:spacing w:before="0" w:after="283"/>
              <w:jc w:val="left"/>
              <w:rPr>
                <w:b/>
              </w:rPr>
            </w:pPr>
            <w:r>
              <w:rPr>
                <w:b/>
              </w:rPr>
              <w:t>Leerink Partners</w:t>
            </w:r>
          </w:p>
        </w:tc>
        <w:tc>
          <w:tcPr>
            <w:tcW w:w="121"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right"/>
              <w:rPr>
                <w:b/>
              </w:rPr>
            </w:pPr>
            <w:r>
              <w:rPr>
                <w:b/>
              </w:rPr>
              <w:t>Stifel</w:t>
            </w:r>
          </w:p>
        </w:tc>
      </w:tr>
    </w:tbl>
    <w:p>
      <w:pPr>
        <w:pStyle w:val="TextBody"/>
        <w:bidi w:val="0"/>
        <w:spacing w:before="160" w:after="0"/>
        <w:jc w:val="left"/>
        <w:rPr>
          <w:rFonts w:ascii="arial" w:hAnsi="arial"/>
          <w:b/>
          <w:sz w:val="22"/>
        </w:rPr>
      </w:pPr>
      <w:r>
        <w:rPr>
          <w:rFonts w:ascii="arial" w:hAnsi="arial"/>
          <w:b/>
          <w:sz w:val="22"/>
        </w:rPr>
        <w:t xml:space="preserve">April 16,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5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8500" cy="770509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Our Mission Powering precisionproteomics to enable theearliest detection ofdisease.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2025 Revenue $74MTotal Revenue196%Y/Y Revenue GrowthCustomers&gt;100Instrument Installed Base1&gt;$400KAverage Annual Instrument Pull-through2&gt;100Publications and Pre-prints22025 Revenue~50%Contribution From Consumable Revenue21. Cumulative installed base as of December 31, 2025.2. As of December 31,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Revenue Services &amp; Other Instruments Consumables $25.1M $74.2M 2024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5"/>
        <w:gridCol w:w="141"/>
        <w:gridCol w:w="70"/>
        <w:gridCol w:w="457"/>
        <w:gridCol w:w="62"/>
      </w:tblGrid>
      <w:tr>
        <w:trPr/>
        <w:tc>
          <w:tcPr>
            <w:tcW w:w="947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27" w:type="dxa"/>
            <w:gridSpan w:val="2"/>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10">
              <w:r>
                <w:rPr>
                  <w:rStyle w:val="InternetLink"/>
                  <w:rFonts w:ascii="arial" w:hAnsi="arial"/>
                  <w:sz w:val="20"/>
                </w:rPr>
                <w:t xml:space="preserve">Founder letter </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iii</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11">
              <w:r>
                <w:rPr>
                  <w:rStyle w:val="InternetLink"/>
                  <w:rFonts w:ascii="arial" w:hAnsi="arial"/>
                  <w:sz w:val="20"/>
                </w:rPr>
                <w:t xml:space="preserve">Glossary </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v</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
              <w:r>
                <w:rPr>
                  <w:rStyle w:val="InternetLink"/>
                  <w:rFonts w:ascii="arial" w:hAnsi="arial"/>
                  <w:sz w:val="20"/>
                </w:rPr>
                <w:t>Prospectus summary</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
              <w:r>
                <w:rPr>
                  <w:rStyle w:val="InternetLink"/>
                  <w:rFonts w:ascii="arial" w:hAnsi="arial"/>
                  <w:sz w:val="20"/>
                </w:rPr>
                <w:t>Risk factors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19</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3">
              <w:r>
                <w:rPr>
                  <w:rStyle w:val="InternetLink"/>
                  <w:rFonts w:ascii="arial" w:hAnsi="arial"/>
                  <w:sz w:val="20"/>
                </w:rPr>
                <w:t>Special note regarding forward-looking statements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89</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4">
              <w:r>
                <w:rPr>
                  <w:rStyle w:val="InternetLink"/>
                  <w:rFonts w:ascii="arial" w:hAnsi="arial"/>
                  <w:sz w:val="20"/>
                </w:rPr>
                <w:t>Market, industry and other data</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5">
              <w:r>
                <w:rPr>
                  <w:rStyle w:val="InternetLink"/>
                  <w:rFonts w:ascii="arial" w:hAnsi="arial"/>
                  <w:sz w:val="20"/>
                </w:rPr>
                <w:t>Use of proceeds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6">
              <w:r>
                <w:rPr>
                  <w:rStyle w:val="InternetLink"/>
                  <w:rFonts w:ascii="arial" w:hAnsi="arial"/>
                  <w:sz w:val="20"/>
                </w:rPr>
                <w:t>Dividend policy</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93</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7">
              <w:r>
                <w:rPr>
                  <w:rStyle w:val="InternetLink"/>
                  <w:rFonts w:ascii="arial" w:hAnsi="arial"/>
                  <w:sz w:val="20"/>
                </w:rPr>
                <w:t>Capitalization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8">
              <w:r>
                <w:rPr>
                  <w:rStyle w:val="InternetLink"/>
                  <w:rFonts w:ascii="arial" w:hAnsi="arial"/>
                  <w:sz w:val="20"/>
                </w:rPr>
                <w:t>Dilution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98</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9">
              <w:r>
                <w:rPr>
                  <w:rStyle w:val="InternetLink"/>
                  <w:rFonts w:ascii="arial" w:hAnsi="arial"/>
                  <w:sz w:val="20"/>
                </w:rPr>
                <w:t>Management’s discussion and analysis of financial condition and results of operations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102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0">
              <w:r>
                <w:rPr>
                  <w:rStyle w:val="InternetLink"/>
                  <w:rFonts w:ascii="arial" w:hAnsi="arial"/>
                  <w:sz w:val="20"/>
                </w:rPr>
                <w:t>Business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120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1">
              <w:r>
                <w:rPr>
                  <w:rStyle w:val="InternetLink"/>
                  <w:rFonts w:ascii="arial" w:hAnsi="arial"/>
                  <w:sz w:val="20"/>
                </w:rPr>
                <w:t>Management</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154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2">
              <w:r>
                <w:rPr>
                  <w:rStyle w:val="InternetLink"/>
                  <w:rFonts w:ascii="arial" w:hAnsi="arial"/>
                  <w:sz w:val="20"/>
                </w:rPr>
                <w:t>Executive and director compensation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162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3">
              <w:r>
                <w:rPr>
                  <w:rStyle w:val="InternetLink"/>
                  <w:rFonts w:ascii="arial" w:hAnsi="arial"/>
                  <w:sz w:val="20"/>
                </w:rPr>
                <w:t>Certain relationships and related person transactions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183</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4">
              <w:r>
                <w:rPr>
                  <w:rStyle w:val="InternetLink"/>
                  <w:rFonts w:ascii="arial" w:hAnsi="arial"/>
                  <w:sz w:val="20"/>
                </w:rPr>
                <w:t>Principal stockholders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186</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5">
              <w:r>
                <w:rPr>
                  <w:rStyle w:val="InternetLink"/>
                  <w:rFonts w:ascii="arial" w:hAnsi="arial"/>
                  <w:sz w:val="20"/>
                </w:rPr>
                <w:t>Description of capital stock</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189</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6">
              <w:r>
                <w:rPr>
                  <w:rStyle w:val="InternetLink"/>
                  <w:rFonts w:ascii="arial" w:hAnsi="arial"/>
                  <w:sz w:val="20"/>
                </w:rPr>
                <w:t>Shares eligible for future sale</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195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7">
              <w:r>
                <w:rPr>
                  <w:rStyle w:val="InternetLink"/>
                  <w:rFonts w:ascii="arial" w:hAnsi="arial"/>
                  <w:sz w:val="20"/>
                </w:rPr>
                <w:t>Material U.S. federal income tax consequences to non-U.S. holders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198</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8">
              <w:r>
                <w:rPr>
                  <w:rStyle w:val="InternetLink"/>
                  <w:rFonts w:ascii="arial" w:hAnsi="arial"/>
                  <w:sz w:val="20"/>
                </w:rPr>
                <w:t>Underwriting</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203</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9">
              <w:r>
                <w:rPr>
                  <w:rStyle w:val="InternetLink"/>
                  <w:rFonts w:ascii="arial" w:hAnsi="arial"/>
                  <w:sz w:val="20"/>
                </w:rPr>
                <w:t>Legal matters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0">
              <w:r>
                <w:rPr>
                  <w:rStyle w:val="InternetLink"/>
                  <w:rFonts w:ascii="arial" w:hAnsi="arial"/>
                  <w:sz w:val="20"/>
                </w:rPr>
                <w:t>Experts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1">
              <w:r>
                <w:rPr>
                  <w:rStyle w:val="InternetLink"/>
                  <w:rFonts w:ascii="arial" w:hAnsi="arial"/>
                  <w:sz w:val="20"/>
                </w:rPr>
                <w:t>Where you can find additional information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2">
              <w:r>
                <w:rPr>
                  <w:rStyle w:val="InternetLink"/>
                  <w:rFonts w:ascii="arial" w:hAnsi="arial"/>
                  <w:sz w:val="20"/>
                </w:rPr>
                <w:t>Index to consolidated financial statements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F-1</w:t>
            </w:r>
          </w:p>
        </w:tc>
        <w:tc>
          <w:tcPr>
            <w:tcW w:w="62" w:type="dxa"/>
            <w:tcBorders/>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 </w:t>
      </w:r>
    </w:p>
    <w:p>
      <w:pPr>
        <w:pStyle w:val="TextBody"/>
        <w:bidi w:val="0"/>
        <w:spacing w:before="160" w:after="0"/>
        <w:jc w:val="left"/>
        <w:rPr>
          <w:rFonts w:ascii="arial" w:hAnsi="arial"/>
          <w:sz w:val="20"/>
        </w:rPr>
      </w:pPr>
      <w:r>
        <w:rPr>
          <w:rFonts w:ascii="arial" w:hAnsi="arial"/>
          <w:sz w:val="20"/>
        </w:rPr>
        <w:t xml:space="preserve">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possession of this prospectus must inform themselves about, and observe any restrictions relating to, the offering of the shares of common stock and the distribution of this prospectus outside of the United States. </w:t>
      </w:r>
    </w:p>
    <w:p>
      <w:pPr>
        <w:pStyle w:val="TextBody"/>
        <w:bidi w:val="0"/>
        <w:spacing w:before="160" w:after="0"/>
        <w:jc w:val="left"/>
        <w:rPr>
          <w:rFonts w:ascii="arial" w:hAnsi="arial"/>
          <w:b/>
          <w:sz w:val="20"/>
        </w:rPr>
      </w:pPr>
      <w:r>
        <w:rPr>
          <w:rFonts w:ascii="arial" w:hAnsi="arial"/>
          <w:b/>
          <w:sz w:val="20"/>
        </w:rPr>
        <w:t xml:space="preserve">Through and including May 11,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bookmarkStart w:id="3" w:name="toc39680_110"/>
      <w:bookmarkEnd w:id="3"/>
      <w:r>
        <w:rPr/>
        <w:t xml:space="preserve">   </w:t>
      </w:r>
    </w:p>
    <w:p>
      <w:pPr>
        <w:pStyle w:val="TextBody"/>
        <w:bidi w:val="0"/>
        <w:spacing w:before="0" w:after="0"/>
        <w:jc w:val="left"/>
        <w:rPr/>
      </w:pPr>
      <w:r>
        <w:rPr/>
        <w:drawing>
          <wp:inline distT="0" distB="0" distL="0" distR="0">
            <wp:extent cx="5778500" cy="76587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0" cy="76587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5778500" cy="72351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8500" cy="72351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bookmarkStart w:id="4" w:name="toc39680_111"/>
      <w:bookmarkEnd w:id="4"/>
      <w:r>
        <w:rPr/>
        <w:t xml:space="preserve">  </w:t>
      </w:r>
    </w:p>
    <w:p>
      <w:pPr>
        <w:pStyle w:val="TextBody"/>
        <w:bidi w:val="0"/>
        <w:spacing w:before="0" w:after="0"/>
        <w:jc w:val="left"/>
        <w:rPr>
          <w:rFonts w:ascii="ARIAL" w:hAnsi="ARIAL"/>
          <w:b/>
          <w:color w:val="243974"/>
          <w:sz w:val="48"/>
        </w:rPr>
      </w:pPr>
      <w:r>
        <w:rPr>
          <w:rFonts w:ascii="ARIAL" w:hAnsi="ARIAL"/>
          <w:b/>
          <w:color w:val="243974"/>
          <w:sz w:val="48"/>
        </w:rPr>
        <w:t xml:space="preserve">Glossary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21 CFR Part 11</w:t>
            </w:r>
            <w:r>
              <w:rPr>
                <w:rFonts w:ascii="arial" w:hAnsi="arial"/>
                <w:color w:val="555859"/>
                <w:sz w:val="24"/>
              </w:rPr>
              <w:t xml:space="preserve">. An FDA regulation that defines when electronic records and electronic signatures are considered trustworthy, reliable and generally equivalent to paper records and handwritten signatures for FDA-regulated activities (e.g., requiring controls like system validation, audit trails, access/security and record retention).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Absolute quantification. </w:t>
            </w:r>
            <w:r>
              <w:rPr>
                <w:rFonts w:ascii="arial" w:hAnsi="arial"/>
                <w:color w:val="555859"/>
                <w:sz w:val="24"/>
              </w:rPr>
              <w:t xml:space="preserve">Measurement of an analyte’s true concentration or amount in a sample using a calibrated standard (reported in defined units, e.g., ng/mL).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Advanced proteomics</w:t>
            </w:r>
            <w:r>
              <w:rPr>
                <w:rFonts w:ascii="arial" w:hAnsi="arial"/>
                <w:color w:val="555859"/>
                <w:sz w:val="24"/>
              </w:rPr>
              <w:t xml:space="preserve">. Advanced proteomics refers to next-generation protein measurement approaches that enable substantially greater sensitivity and/or multiplexing than traditional immunoassays. This includes next generation affinity-based assays such as high sensitivity immunoassays, multiplexed immunoassays and protein mass spectrometry.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Affinity-based approaches. </w:t>
            </w:r>
            <w:r>
              <w:rPr>
                <w:rFonts w:ascii="arial" w:hAnsi="arial"/>
                <w:color w:val="555859"/>
                <w:sz w:val="24"/>
              </w:rPr>
              <w:t xml:space="preserve">Proteomics method that utilize specific binding reagents, including antibodies, aptamers, and nanobodies, to capture and quantify selected proteins from complex biological samples.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Analyte. </w:t>
            </w:r>
            <w:r>
              <w:rPr>
                <w:rFonts w:ascii="arial" w:hAnsi="arial"/>
                <w:color w:val="555859"/>
                <w:sz w:val="24"/>
              </w:rPr>
              <w:t xml:space="preserve">A substance or chemical constituent that is of interest in an analytical procedure, typically representing the specific protein biomarkers targeted by our assays.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Antibody. </w:t>
            </w:r>
            <w:r>
              <w:rPr>
                <w:rFonts w:ascii="arial" w:hAnsi="arial"/>
                <w:color w:val="555859"/>
                <w:sz w:val="24"/>
              </w:rPr>
              <w:t xml:space="preserve">A specialized protein produced by the immune system that identifies and binds to specific targets. In our NULISA technology platform, antibodies are used as highly specific reagents to capture and quantify target protein biomarkers.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Assay. </w:t>
            </w:r>
            <w:r>
              <w:rPr>
                <w:rFonts w:ascii="arial" w:hAnsi="arial"/>
                <w:color w:val="555859"/>
                <w:sz w:val="24"/>
              </w:rPr>
              <w:t xml:space="preserve">A laboratory procedure used to qualitatively assess or quantitatively measure the presence, amount or functional activity of a target analyte. Our NULISA technology platform supports both multiplex and single-plex assay formats.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Attomolar. </w:t>
            </w:r>
            <w:r>
              <w:rPr>
                <w:rFonts w:ascii="arial" w:hAnsi="arial"/>
                <w:color w:val="555859"/>
                <w:sz w:val="24"/>
              </w:rPr>
              <w:t xml:space="preserve">Extremely low concentrations, on the order of 10-18 moles per liter.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Barcode. </w:t>
            </w:r>
            <w:r>
              <w:rPr>
                <w:rFonts w:ascii="arial" w:hAnsi="arial"/>
                <w:color w:val="555859"/>
                <w:sz w:val="24"/>
              </w:rPr>
              <w:t xml:space="preserve">A short, unique DNA oligonucleotide sequence used as an identifier in an assay or sequencing workflow. A target multiplex identifier barcode is used to identify which target the signal is associated with and a sample multiplex identifier barcode is used to allow different samples to be pooled and later distinguished during data.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696"/>
        <w:gridCol w:w="102"/>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696" w:type="dxa"/>
            <w:tcBorders/>
          </w:tcPr>
          <w:p>
            <w:pPr>
              <w:pStyle w:val="TableContents"/>
              <w:bidi w:val="0"/>
              <w:spacing w:lineRule="atLeast" w:line="340" w:before="0" w:after="0"/>
              <w:jc w:val="left"/>
              <w:rPr>
                <w:rFonts w:ascii="arial" w:hAnsi="arial"/>
                <w:sz w:val="24"/>
              </w:rPr>
            </w:pPr>
            <w:r>
              <w:rPr>
                <w:rFonts w:ascii="arial" w:hAnsi="arial"/>
                <w:b/>
                <w:color w:val="437DC0"/>
                <w:sz w:val="24"/>
              </w:rPr>
              <w:t>Biofluid.</w:t>
            </w:r>
            <w:r>
              <w:rPr>
                <w:rFonts w:ascii="arial" w:hAnsi="arial"/>
                <w:color w:val="555859"/>
                <w:sz w:val="24"/>
              </w:rPr>
              <w:t xml:space="preserve"> Any fluid that can be collected from the body, such as blood, plasma, serum, saliva or urine, used for non-invasive or minimally invasive diagnostic testing.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Biomarker. </w:t>
            </w:r>
            <w:r>
              <w:rPr>
                <w:rFonts w:ascii="arial" w:hAnsi="arial"/>
                <w:color w:val="555859"/>
                <w:sz w:val="24"/>
              </w:rPr>
              <w:t xml:space="preserve">A defined characteristic or biochemical analyte measured as an indicator of normal biological or pathogenic processes, or responses to an exposure or intervention. In proteomics, protein biomarkers are used for early disease detection, diagnosis and monitoring.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CLIA (Clinical Laboratory Improvement Amendments). </w:t>
            </w:r>
            <w:r>
              <w:rPr>
                <w:rFonts w:ascii="arial" w:hAnsi="arial"/>
                <w:color w:val="555859"/>
                <w:sz w:val="24"/>
              </w:rPr>
              <w:t xml:space="preserve">The federal regulatory standards that apply to all clinical laboratory testing performed on humans in the United States to ensure accuracy and reliability.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Consumables. </w:t>
            </w:r>
            <w:r>
              <w:rPr>
                <w:rFonts w:ascii="arial" w:hAnsi="arial"/>
                <w:color w:val="555859"/>
                <w:sz w:val="24"/>
              </w:rPr>
              <w:t xml:space="preserve">Proprietary reagents, assay kits, and specialized plasticware used with the ARGO HT System to perform proteomic analyses.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CSF (Cerebrospinal Fluid). </w:t>
            </w:r>
            <w:r>
              <w:rPr>
                <w:rFonts w:ascii="arial" w:hAnsi="arial"/>
                <w:color w:val="555859"/>
                <w:sz w:val="24"/>
              </w:rPr>
              <w:t xml:space="preserve">The clear fluid that surrounds, cushions, and protects the brain and spinal cord.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Cytokines. </w:t>
            </w:r>
            <w:r>
              <w:rPr>
                <w:rFonts w:ascii="arial" w:hAnsi="arial"/>
                <w:color w:val="555859"/>
                <w:sz w:val="24"/>
              </w:rPr>
              <w:t xml:space="preserve">Secreted cell-signaling proteins that regulate immune and inflammatory responses.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Dynamic range. </w:t>
            </w:r>
            <w:r>
              <w:rPr>
                <w:rFonts w:ascii="arial" w:hAnsi="arial"/>
                <w:color w:val="555859"/>
                <w:sz w:val="24"/>
              </w:rPr>
              <w:t xml:space="preserve">The span of protein concentrations that can be accurately measured in a single assay, typically expressed in orders of magnitude or logs. A broad dynamic range allows for the simultaneous detection of both high- and low-abundance protein targets.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ELISA (Enzyme-Linked Immunosorbent Assay). </w:t>
            </w:r>
            <w:r>
              <w:rPr>
                <w:rFonts w:ascii="arial" w:hAnsi="arial"/>
                <w:color w:val="555859"/>
                <w:sz w:val="24"/>
              </w:rPr>
              <w:t xml:space="preserve">A laboratory assay that uses antibodies and an enzyme-generated color (or signal) change to detect and quantify a target protein.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697"/>
        <w:gridCol w:w="102"/>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697"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Epitope. </w:t>
            </w:r>
            <w:r>
              <w:rPr>
                <w:rFonts w:ascii="arial" w:hAnsi="arial"/>
                <w:color w:val="555859"/>
                <w:sz w:val="24"/>
              </w:rPr>
              <w:t xml:space="preserve">The specific part of a protein molecule to which an antibody attaches itself. </w:t>
            </w:r>
          </w:p>
        </w:tc>
        <w:tc>
          <w:tcPr>
            <w:tcW w:w="10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High specificity</w:t>
            </w:r>
            <w:r>
              <w:rPr>
                <w:rFonts w:ascii="arial" w:hAnsi="arial"/>
                <w:color w:val="555859"/>
                <w:sz w:val="24"/>
              </w:rPr>
              <w:t xml:space="preserve">. The accurate detection of the intended target protein or proteoform, including differentiating splice variants, single amino acid changes and post-translational modifications.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Hypothesis-free discovery. </w:t>
            </w:r>
            <w:r>
              <w:rPr>
                <w:rFonts w:ascii="arial" w:hAnsi="arial"/>
                <w:color w:val="555859"/>
                <w:sz w:val="24"/>
              </w:rPr>
              <w:t xml:space="preserve">An unbiased research approach that scans for thousands of proteins at once rather than looking for one specific, pre-selected target.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Immunoassay. </w:t>
            </w:r>
            <w:r>
              <w:rPr>
                <w:rFonts w:ascii="arial" w:hAnsi="arial"/>
                <w:color w:val="555859"/>
                <w:sz w:val="24"/>
              </w:rPr>
              <w:t xml:space="preserve">A laboratory technique that uses the binding of antibodies to antigens to identify and quantify specific proteins or other molecules in a biological sample.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Installed base.</w:t>
            </w:r>
            <w:r>
              <w:rPr>
                <w:rFonts w:ascii="arial" w:hAnsi="arial"/>
                <w:color w:val="555859"/>
                <w:sz w:val="24"/>
              </w:rPr>
              <w:t xml:space="preserve"> Installed base represents the total number of ARGO instruments currently placed and operational at customer sites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Immunocomplex.</w:t>
            </w:r>
            <w:r>
              <w:rPr>
                <w:rFonts w:ascii="arial" w:hAnsi="arial"/>
                <w:color w:val="555859"/>
                <w:sz w:val="24"/>
              </w:rPr>
              <w:t xml:space="preserve"> Also known as an antigen-antibody complex, this is the stable molecular unit formed by the specific binding of antibodies to a target protein analyte. In our NULISA technology, this complex is uniquely tagged with DNA oligonucleotides, enabling the sequential capture, purification, and ultra-sensitive detection of target biomarkers within complex biological samples.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Instrument.</w:t>
            </w:r>
            <w:r>
              <w:rPr>
                <w:rFonts w:ascii="arial" w:hAnsi="arial"/>
                <w:color w:val="555859"/>
                <w:sz w:val="24"/>
              </w:rPr>
              <w:t xml:space="preserve"> In the context of our ARGO HT System, our instrument refers to the fully automated, high-throughput benchtop workstation that is used along with our consumables to conduct proteomic assays using our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Isoforms.</w:t>
            </w:r>
            <w:r>
              <w:rPr>
                <w:rFonts w:ascii="arial" w:hAnsi="arial"/>
                <w:color w:val="555859"/>
                <w:sz w:val="24"/>
              </w:rPr>
              <w:t xml:space="preserve"> Different versions of the same protein produced from the same gene that vary slightly in their amino acid sequence, structure, or function.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IVD (in vitro diagnostic).</w:t>
            </w:r>
            <w:r>
              <w:rPr>
                <w:rFonts w:ascii="arial" w:hAnsi="arial"/>
                <w:color w:val="555859"/>
                <w:sz w:val="24"/>
              </w:rPr>
              <w:t xml:space="preserve"> Tests performed on samples such as blood or tissue taken from the human body to detect diseases 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LDT (laboratory developed test).</w:t>
            </w:r>
            <w:r>
              <w:rPr>
                <w:rFonts w:ascii="arial" w:hAnsi="arial"/>
                <w:color w:val="555859"/>
                <w:sz w:val="24"/>
              </w:rPr>
              <w:t xml:space="preserve"> A type of in vitro diagnostic test designed, manufactured, and used within a single laboratory.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Lyophilized format. </w:t>
            </w:r>
            <w:r>
              <w:rPr>
                <w:rFonts w:ascii="arial" w:hAnsi="arial"/>
                <w:color w:val="555859"/>
                <w:sz w:val="24"/>
              </w:rPr>
              <w:t xml:space="preserve">A freeze-dried form of reagents or assay kits, which improves stability, shelf-life, and ease of shipping and storage for clinical workflows.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Mass spectrometry. </w:t>
            </w:r>
            <w:r>
              <w:rPr>
                <w:rFonts w:ascii="arial" w:hAnsi="arial"/>
                <w:color w:val="555859"/>
                <w:sz w:val="24"/>
              </w:rPr>
              <w:t xml:space="preserve">An analytical technique used to measure the mass-to-charge ratio of ions. It is widely utilized in proteomics for protein identification and quantification.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MRD (Minimal Residual Disease). </w:t>
            </w:r>
            <w:r>
              <w:rPr>
                <w:rFonts w:ascii="arial" w:hAnsi="arial"/>
                <w:color w:val="555859"/>
                <w:sz w:val="24"/>
              </w:rPr>
              <w:t xml:space="preserve">The small number of cancer cells that remain in a patient during or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Monoclonal Antibody. </w:t>
            </w:r>
            <w:r>
              <w:rPr>
                <w:rFonts w:ascii="arial" w:hAnsi="arial"/>
                <w:color w:val="555859"/>
                <w:sz w:val="24"/>
              </w:rPr>
              <w:t xml:space="preserve">An antibody produced by a single clone of cells, ensuring all antibody molecules are identical and bind to the same specific site (epitope) on a target protein.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lineRule="atLeast" w:line="340" w:before="0" w:after="0"/>
              <w:jc w:val="left"/>
              <w:rPr>
                <w:rFonts w:ascii="arial" w:hAnsi="arial"/>
                <w:sz w:val="24"/>
              </w:rPr>
            </w:pPr>
            <w:r>
              <w:rPr>
                <w:rFonts w:ascii="arial" w:hAnsi="arial"/>
                <w:b/>
                <w:color w:val="437DC0"/>
                <w:sz w:val="24"/>
              </w:rPr>
              <w:t>Multi-Cancer Early Detection (MCED).</w:t>
            </w:r>
            <w:r>
              <w:rPr>
                <w:rFonts w:ascii="arial" w:hAnsi="arial"/>
                <w:color w:val="555859"/>
                <w:sz w:val="24"/>
              </w:rPr>
              <w:t xml:space="preserve"> A liquid biopsy test designed to screen for multiple types of cancer simultaneously from a single blood sample, typically by detecting circulating biomarkers.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Multiplexing.</w:t>
            </w:r>
            <w:r>
              <w:rPr>
                <w:rFonts w:ascii="arial" w:hAnsi="arial"/>
                <w:color w:val="555859"/>
                <w:sz w:val="24"/>
              </w:rPr>
              <w:t xml:space="preserve"> The simultaneous measurement of multiple distinct analytes, such as proteins, within a single assay, thereby increasing data richness and sample efficiency.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Panel.</w:t>
            </w:r>
            <w:r>
              <w:rPr>
                <w:rFonts w:ascii="arial" w:hAnsi="arial"/>
                <w:color w:val="555859"/>
                <w:sz w:val="24"/>
              </w:rPr>
              <w:t xml:space="preserve"> A curated set of assays designed to detect multiple specific protein biomarkers relevant to a particular disease area, biological pathway, or research objective.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Plasma. </w:t>
            </w:r>
            <w:r>
              <w:rPr>
                <w:rFonts w:ascii="arial" w:hAnsi="arial"/>
                <w:color w:val="555859"/>
                <w:sz w:val="24"/>
              </w:rPr>
              <w:t xml:space="preserve">The liquid component of blood that remains after removing blood cells; it contains water, proteins, electrolytes, and clotting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Phenotype. </w:t>
            </w:r>
            <w:r>
              <w:rPr>
                <w:rFonts w:ascii="arial" w:hAnsi="arial"/>
                <w:color w:val="555859"/>
                <w:sz w:val="24"/>
              </w:rPr>
              <w:t xml:space="preserve">Refers to the observable characteristics or traits of an organism, which can be manifested in form or structure by biochemical or physiological properties, or by behavior.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Post-translational modifications (PTMs). </w:t>
            </w:r>
            <w:r>
              <w:rPr>
                <w:rFonts w:ascii="arial" w:hAnsi="arial"/>
                <w:color w:val="555859"/>
                <w:sz w:val="24"/>
              </w:rPr>
              <w:t xml:space="preserve">Chemical changes made to a protein after its synthesis that can regulate the protein’s activity, function, and 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Positive Predictive Value (PPV) / Negative Predictive Value (NPV). </w:t>
            </w:r>
            <w:r>
              <w:rPr>
                <w:rFonts w:ascii="arial" w:hAnsi="arial"/>
                <w:color w:val="555859"/>
                <w:sz w:val="24"/>
              </w:rPr>
              <w:t xml:space="preserve">Statistical measures used to determine the probability that a test result is accurate within a specific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Precision medicine</w:t>
            </w:r>
            <w:r>
              <w:rPr>
                <w:rFonts w:ascii="arial" w:hAnsi="arial"/>
                <w:color w:val="555859"/>
                <w:sz w:val="24"/>
              </w:rPr>
              <w:t xml:space="preserve">. Precision medicine is a medical model that customizes healthcare, with medical decisions and treatments being tailored to subgroups of patients instead of a traditional one-drug-fits-all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Precision Proteomics. </w:t>
            </w:r>
            <w:r>
              <w:rPr>
                <w:rFonts w:ascii="arial" w:hAnsi="arial"/>
                <w:color w:val="555859"/>
                <w:sz w:val="24"/>
              </w:rPr>
              <w:t xml:space="preserve">The combination of the five key pillars of ultra-high sensitivity, high specificity, flexible multiplexing, broad dynamic range and seamless automation.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Protein.</w:t>
            </w:r>
            <w:r>
              <w:rPr>
                <w:rFonts w:ascii="arial" w:hAnsi="arial"/>
                <w:color w:val="555859"/>
                <w:sz w:val="24"/>
              </w:rPr>
              <w:t xml:space="preserve"> An amino-acid polymer that typically folds into a specific three-dimensional structure and performs a wide range of biological functions, including enzymatic catalysis, signaling, and structural roles. Protein function can be influenced by sequence variation and post-translational modifications and is often mediated through protein-protein interactions (PPIs).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Proteoform.</w:t>
            </w:r>
            <w:r>
              <w:rPr>
                <w:rFonts w:ascii="arial" w:hAnsi="arial"/>
                <w:color w:val="555859"/>
                <w:sz w:val="24"/>
              </w:rPr>
              <w:t xml:space="preserve"> Any of the different molecular forms of a protein that can arise from a single gene due to genetic mutations, alternative splicing, or post-translational modifications.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Proteome. </w:t>
            </w:r>
            <w:r>
              <w:rPr>
                <w:rFonts w:ascii="arial" w:hAnsi="arial"/>
                <w:color w:val="555859"/>
                <w:sz w:val="24"/>
              </w:rPr>
              <w:t xml:space="preserve">The complete set of proteins expressed by a genome, cell, tissue, or organism at a specific time. The proteome is dynamic and reflects real-time biological states.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Proximity ligation. </w:t>
            </w:r>
            <w:r>
              <w:rPr>
                <w:rFonts w:ascii="arial" w:hAnsi="arial"/>
                <w:color w:val="555859"/>
                <w:sz w:val="24"/>
              </w:rPr>
              <w:t xml:space="preserve">A process in which two oligonucleotide-labeled binding events must occur in close physical proximity (e.g., on the same target or nearby targets) to enable the oligonucleotides to be joined into a DNA sequence that can be amplified or otherwise read out for detection and quantification.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Pull-through. </w:t>
            </w:r>
            <w:r>
              <w:rPr>
                <w:rFonts w:ascii="arial" w:hAnsi="arial"/>
                <w:color w:val="555859"/>
                <w:sz w:val="24"/>
              </w:rPr>
              <w:t xml:space="preserve">The revenue generated by the sale of high-margin consumables used by a single installed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qPCR (Quantitative Polymerase Chain Reaction). </w:t>
            </w:r>
            <w:r>
              <w:rPr>
                <w:rFonts w:ascii="arial" w:hAnsi="arial"/>
                <w:color w:val="555859"/>
                <w:sz w:val="24"/>
              </w:rPr>
              <w:t xml:space="preserve">A laboratory technique used to amplify and simultaneously quantify targeted DNA molecules. It serves as the primary readout method for our NULISAqpcr assays.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Reagent kit. </w:t>
            </w:r>
            <w:r>
              <w:rPr>
                <w:rFonts w:ascii="arial" w:hAnsi="arial"/>
                <w:color w:val="555859"/>
                <w:sz w:val="24"/>
              </w:rPr>
              <w:t xml:space="preserve">A pre-packaged set of chemical and biological reagents required to perform a specific assay on the ARGO HT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NGS (next-generation sequencing). </w:t>
            </w:r>
            <w:r>
              <w:rPr>
                <w:rFonts w:ascii="arial" w:hAnsi="arial"/>
                <w:color w:val="555859"/>
                <w:sz w:val="24"/>
              </w:rPr>
              <w:t xml:space="preserve">High-throughput DNA sequencing technology used as a readout for multiplexed NULISA assays, enabling simultaneous quantification of thousands of proteins.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Specificity. </w:t>
            </w:r>
            <w:r>
              <w:rPr>
                <w:rFonts w:ascii="arial" w:hAnsi="arial"/>
                <w:color w:val="555859"/>
                <w:sz w:val="24"/>
              </w:rPr>
              <w:t xml:space="preserve">The ability of an assay or technology to accurately detect the intended target protein without cross-reactivity or interference from other molecules in a complex sample.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Throughput. </w:t>
            </w:r>
            <w:r>
              <w:rPr>
                <w:rFonts w:ascii="arial" w:hAnsi="arial"/>
                <w:color w:val="555859"/>
                <w:sz w:val="24"/>
              </w:rPr>
              <w:t xml:space="preserve">The number of assays that can be completed on a single instrument run.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Translational research. </w:t>
            </w:r>
            <w:r>
              <w:rPr>
                <w:rFonts w:ascii="arial" w:hAnsi="arial"/>
                <w:color w:val="555859"/>
                <w:sz w:val="24"/>
              </w:rPr>
              <w:t xml:space="preserve">The field of study that aims to “translate” findings from basic science into practical applications that enhance human health, such as new diagnostics or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lineRule="atLeast" w:line="340" w:before="0" w:after="0"/>
              <w:jc w:val="left"/>
              <w:rPr>
                <w:rFonts w:ascii="arial" w:hAnsi="arial"/>
                <w:color w:val="555859"/>
                <w:sz w:val="24"/>
              </w:rPr>
            </w:pPr>
            <w:r>
              <w:rPr>
                <w:rFonts w:ascii="arial" w:hAnsi="arial"/>
                <w:color w:val="555859"/>
                <w:sz w:val="24"/>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lineRule="atLeast" w:line="340" w:before="0" w:after="0"/>
              <w:jc w:val="left"/>
              <w:rPr>
                <w:rFonts w:ascii="arial" w:hAnsi="arial"/>
                <w:sz w:val="24"/>
              </w:rPr>
            </w:pPr>
            <w:r>
              <w:rPr>
                <w:rFonts w:ascii="arial" w:hAnsi="arial"/>
                <w:b/>
                <w:color w:val="437DC0"/>
                <w:sz w:val="24"/>
              </w:rPr>
              <w:t xml:space="preserve">Ultra-high sensitivity. </w:t>
            </w:r>
            <w:r>
              <w:rPr>
                <w:rFonts w:ascii="arial" w:hAnsi="arial"/>
                <w:color w:val="555859"/>
                <w:sz w:val="24"/>
              </w:rPr>
              <w:t xml:space="preserve">The capability of a technology to detect extremely low concentrations of analytes with a limit of detection (LOD) below 0.1fg/mL, which is critical for early disease detection and novel biomarker discovery.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bookmarkStart w:id="5" w:name="toc39680_1"/>
      <w:bookmarkEnd w:id="5"/>
      <w:r>
        <w:rPr/>
        <w:drawing>
          <wp:inline distT="0" distB="0" distL="0" distR="0">
            <wp:extent cx="5778500" cy="7797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8500" cy="77978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Prospectussummary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6" w:name="toc39680_11"/>
      <w:bookmarkEnd w:id="6"/>
      <w:r>
        <w:rPr>
          <w:rFonts w:ascii="arial" w:hAnsi="arial"/>
          <w:b/>
          <w:sz w:val="32"/>
          <w:bdr w:val="single" w:sz="2" w:space="1" w:color="000000"/>
        </w:rPr>
        <w:t xml:space="preserve">Prospectus summary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This summary highlights selected information contained elsewhere in this prospectus and is qualified in its entirety by the more detailed information and consolidated financial statements included elsewhere in this prospectus. This summary does not contain all of the information you should consider before investing in our common stock. Before making an investment decision, you should carefully read this entire prospectus, including the information under the sections titled “Risk factors,” “Special note regarding forward-looking statements” and “Management’s discussion and analysis of financial condition and results of operations” and our consolidated financial statements and related notes included elsewhere in this prospectus. Unless the context requires otherwise, references in this prospectus to “Alamar Biosciences,” the “Company,” “we,” “us” and “our” refer to Alamar Biosciences, Inc.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Business overview </w:t>
      </w:r>
    </w:p>
    <w:p>
      <w:pPr>
        <w:pStyle w:val="TextBody"/>
        <w:bidi w:val="0"/>
        <w:spacing w:before="160" w:after="0"/>
        <w:jc w:val="left"/>
        <w:rPr>
          <w:rFonts w:ascii="arial" w:hAnsi="arial"/>
          <w:b/>
          <w:i/>
          <w:sz w:val="20"/>
          <w:bdr w:val="single" w:sz="2" w:space="1" w:color="000000"/>
        </w:rPr>
      </w:pPr>
      <w:r>
        <w:rPr>
          <w:rFonts w:ascii="arial" w:hAnsi="arial"/>
          <w:b/>
          <w:i/>
          <w:sz w:val="20"/>
          <w:bdr w:val="single" w:sz="2" w:space="1" w:color="000000"/>
        </w:rPr>
        <w:t xml:space="preserve">Our mission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mission is to power precision proteomics to enable the earliest detection of disease.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commercially launched our proprietary instrument, the ARGO High Throughput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The robust performance of our platform is further evidenced in over 100 scientific publications since our commercial launch. Our customers include top global research and academic institutions, biopharmaceutical companies, contract research organizations and service labs. All ten of the top ten biopharma companies by 2024 revenue are customers of Alamar. We are also developing a second proprietary instrument as part of our IVD platform, called the ARGO HT/DX instrument, for which we intend to provide a submission to the FDA for marketing authorization in 2027. We have established multiple multi-million dollar collaborations with renowned research foundations to help support the development of our ARGO HT/DX instrument and the discovery of biomarkers in neurodegenerative disease. </w:t>
      </w:r>
    </w:p>
    <w:p>
      <w:pPr>
        <w:pStyle w:val="TextBody"/>
        <w:bidi w:val="0"/>
        <w:spacing w:before="0" w:after="0"/>
        <w:jc w:val="left"/>
        <w:rPr>
          <w:bdr w:val="single" w:sz="2" w:space="1" w:color="000000"/>
        </w:rPr>
      </w:pPr>
      <w:r>
        <w:rPr>
          <w:bdr w:val="single" w:sz="2" w:space="1" w:color="000000"/>
        </w:rPr>
        <w: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Proteins are essential for all life functions and the fundamental molecules behind healthy cellular operations and the causal mechanisms of disease, as illustrated by the fact that a large majority of effective drugs have proteins as targets. Proteomic analysis has great potential to identify “biomarkers” of health, to characterize disturbances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in disease, to discover new drug targets, to assess risks and to measure the impact of interventions such as drugs and lifestyle changes. However, the complexity of disease and biology requires analysis of multiple proteins and pathways at once. As a result of this complexity, much of the human proteome has remained unmeasurable or unquantifiable by other proteomic technologies, and true Precision Proteomics has not been possible.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proprietary and patented NULISA technology addresses these critical limitations, and we believe it is currently the only platform that enables Precision Proteomics. The chemistry underpinning our technology employs a unique sequential purification of immunocomplexes to suppress background noise and enable the detection of low-abundance protein targets in biofluids across large and diverse populations. Our platform is a fully integrated and fully automated proteomic analysis solution and provides scientists with an end-to-end solution to precisely and consistently measure from one to over one hundred low-abundance and difficult-to-detect biomarkers across the continuum of discovery, translational research, and ultimately, diagnostics. Scientists value our platform because it offers an accessible, easy-to-use and reliable ultra-high sensitivity and multiplexed biomarker analysis of large cohorts of samples.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current instrument, the ARGO HT System, is designed to fully automate high-sensitivity and high-plex proteomics analysis and is currently available for research use only (“RUO”) applications. It was built to execute our NULISA chemistry in a simple and reproducible workflow for broad biomarker profiling, validation and potential translation into future clinical use. The ARGO HT System facilitates the seamless analysis of large cohorts and clinical research with minimal handling, rapid turnaround times and high data quality.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initial assay menu focuses on neurology and immunology. We develop a significant portion of our assay panels in close partnership with our customers, who are experts in identifying important protein biomarkers in their respective fields. Our flagship multiplex assay, the CNS Disease Panel 120, provides broad coverage of neurodegeneration pathways. Additionally, our single-plex BD-pTau217 assay can distinctly measure brain-derived-pTau217, which is present in low abundance in blood and is critical for research involving biomarkers for early diagnosis of Alzheimer’s disease. Our assay enables BD-pTau217 quantitation using a small blood sample, offering a noninvasive, economical and convenient alternative to cerebrospinal fluid sample tests or PET scans. We also develop kits for customers to create their own assays, enabling our technology to meet the needs of customers operating in their disease areas of interest.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flexibility of our platform is designed to enable researchers to seamlessly transition from high-plex discovery panels to the development of low-plex diagnostics assays. As a result, our strategy is to continue driving adoption in the targeted discovery and translational markets and subsequently establish a foundation for clinical diagnostics through internal innovation and external collaborations. Ultimately, our platform is designed to support the entire customer journey from discovery to diagnostics, unlocking the full value of precision medicine and early disease detection.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years ended December 31, 2024 and 2025, we generated total revenue of $25.1 million and $74.2 million, respectively, representing year-over-year growth of 195%. Gross margin was 34% and 56%, respectively. We have incurred net losses and negative cash flows from operations since inception. For the years ended December 31, 2024 and 2025, we incurred net losses of $47.1 million and $29.8 million, respectively.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Industry background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Proteomics is the systematic measurement of large sets of different proteins and variants of proteins expressed by a genome, cell, or organism. The human body has approximately 20,000 protein-coding genes, but there are many more protein variants in the human proteome because of modifications that happen to them after they are made and different “isoforms,” which are subtly different protein structures, referred to as “proteoforms.” The blood proteome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has immense potential for precision medicine through non-invasive measurements. All tissues communicate with the blood, directly or indirectly, and proteins reflect dynamic real-time biological state in health and disease. Among the approximately 20,000 proteins in a human body, over 10,000 can be found in blood. Plasma represents the largest and deepest version of the human proteome, containing classical plasma proteins, tissue proteins and numerous immunoglobulin proteins. However, the abundance of plasma proteins can differ by more than 12 orders of magnitude in concentration. We estimate that more than half of proteins in human plasma have not been measured reliably with existing technologies, including affinity-based assays and mass spectrometry.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Researchers use proteomic measurements as “biomarkers,” to understand normal physiology, to characterize disturbances in disease, to assess risks, and to measure the impact of interventions such as drugs and lifestyle changes. Therefore, proteomic analysis provides uniquely valuable information across the continuum from discovery, where proteins are identified as disease biomarkers and therapeutic targets, to diagnosis and population health, where their presence or absence can guide clinical decisions and precision medicine.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The age of proteomics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genome serves as biology’s foundational blueprint, encoding instructions that are transcribed into RNA, which is ultimately translated into proteins, the building block of all biological processes. For many diseases, genetics has had limited impact to date on broad population health or medical management. This is because genes are effectively a blueprint of what physiology could be, not an indicator of current physiological state or the impact of environmental effects. Proteins are optimal candidates to identify biomarkers because they are downstream of genetic effects, operate the causal mechanisms of disease, are the targets of most approved drugs and are sensitive to environmental, lifestyle, drug and disease effects.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Limitations of existing proteomics technologies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Today, most highly multiplexed proteomics technology platforms have the capability of establishing qualitative correlation between proteins and phenotypes, which aids understanding of protein function and can identify causality. The next increment of value requires correlating protein changes more quantitatively to disease risk, phenotype, severity or outcome. This requires Precision Proteomics.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However, the combination of all analytical qualities required for Precision Proteomics, including sensitivity, specificity, multiplexing, dynamic range and automation has historically been a challenge. Diseases are complicated and heterogeneous, requiring analysis of multiple proteins and pathways. Despite decades of innovation, existing proteomics technologies still face challenges in measuring protein biomarker complexity.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technology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We developed our proprietary NULISA (</w:t>
      </w:r>
      <w:r>
        <w:rPr>
          <w:rFonts w:ascii="arial" w:hAnsi="arial"/>
          <w:b/>
          <w:sz w:val="20"/>
          <w:bdr w:val="single" w:sz="2" w:space="1" w:color="000000"/>
        </w:rPr>
        <w:t>NU</w:t>
      </w:r>
      <w:r>
        <w:rPr>
          <w:rFonts w:ascii="arial" w:hAnsi="arial"/>
          <w:sz w:val="20"/>
          <w:bdr w:val="single" w:sz="2" w:space="1" w:color="000000"/>
        </w:rPr>
        <w:t xml:space="preserve">cleic Acid </w:t>
      </w:r>
      <w:r>
        <w:rPr>
          <w:rFonts w:ascii="arial" w:hAnsi="arial"/>
          <w:b/>
          <w:sz w:val="20"/>
          <w:bdr w:val="single" w:sz="2" w:space="1" w:color="000000"/>
        </w:rPr>
        <w:t>L</w:t>
      </w:r>
      <w:r>
        <w:rPr>
          <w:rFonts w:ascii="arial" w:hAnsi="arial"/>
          <w:sz w:val="20"/>
          <w:bdr w:val="single" w:sz="2" w:space="1" w:color="000000"/>
        </w:rPr>
        <w:t xml:space="preserve">inked </w:t>
      </w:r>
      <w:r>
        <w:rPr>
          <w:rFonts w:ascii="arial" w:hAnsi="arial"/>
          <w:b/>
          <w:sz w:val="20"/>
          <w:bdr w:val="single" w:sz="2" w:space="1" w:color="000000"/>
        </w:rPr>
        <w:t>I</w:t>
      </w:r>
      <w:r>
        <w:rPr>
          <w:rFonts w:ascii="arial" w:hAnsi="arial"/>
          <w:sz w:val="20"/>
          <w:bdr w:val="single" w:sz="2" w:space="1" w:color="000000"/>
        </w:rPr>
        <w:t>mmuno-</w:t>
      </w:r>
      <w:r>
        <w:rPr>
          <w:rFonts w:ascii="arial" w:hAnsi="arial"/>
          <w:b/>
          <w:sz w:val="20"/>
          <w:bdr w:val="single" w:sz="2" w:space="1" w:color="000000"/>
        </w:rPr>
        <w:t>S</w:t>
      </w:r>
      <w:r>
        <w:rPr>
          <w:rFonts w:ascii="arial" w:hAnsi="arial"/>
          <w:sz w:val="20"/>
          <w:bdr w:val="single" w:sz="2" w:space="1" w:color="000000"/>
        </w:rPr>
        <w:t xml:space="preserve">andwich </w:t>
      </w:r>
      <w:r>
        <w:rPr>
          <w:rFonts w:ascii="arial" w:hAnsi="arial"/>
          <w:b/>
          <w:sz w:val="20"/>
          <w:bdr w:val="single" w:sz="2" w:space="1" w:color="000000"/>
        </w:rPr>
        <w:t>A</w:t>
      </w:r>
      <w:r>
        <w:rPr>
          <w:rFonts w:ascii="arial" w:hAnsi="arial"/>
          <w:sz w:val="20"/>
          <w:bdr w:val="single" w:sz="2" w:space="1" w:color="000000"/>
        </w:rPr>
        <w:t xml:space="preserve">ssay) technology as the foundation of our Precision Proteomics platform. Unlike conventional approaches that mostly attempt to boost signal, the chemistry underpinning our technology works by also suppressing background noise, which dramatically increases the signal-to-noise ratio. Our method leverages a series of purification steps, rather than relying on dilution, which is known to compromise sensitivity and dynamic range, and impair automation. By precisely targeting and removing background noise, we achieve a 10,000-fold improvement in signal-to-noise ratio compared to conventional proximity ligation assays and enable the reliable detection of proteins at attomolar concentrations. This approach is not only conceptually novel but also practically challenging for others to replicate, as it is protected by a robust portfolio of patents and more than five years of accumulated trade secrets.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Today, our NULISA technology can detect and quantify with ultra-high sensitivity and high specificity over one hundred protein biomarkers in a single sample from as little as 10 microliters of biofluid. We believe NULISA has the technical capability to, in the future, expand to detect and quantify thousands of protein biomarkers. With a fully automated workflow and panels that include both low- and high-protein abundance markers, NULISA empowers scientists to reliably analyze complex samples and unlock new possibilities in early disease detection.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NULISA technology overcomes critical limitations of existing technologies and brings together five key capabilities: ultra-high sensitivity, high specificity, flexible multiplexing, broad dynamic range and seamless automation. The combination of all five pillars is critical to power Precision Proteomics, which we believe is uniquely enabled by our technology. We believe our NULISA technology addresses all these key existing limitations to deliver Precision Proteomics, unlocking the full potential of measuring protein biomarker complexity. We are excited about the role Alamar will play in enabling widespread use of protein biomarkers for discovery, translation and potential clinical diagnostics.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high-quality, well-annotated biological data generated through our Precision Proteomics platform will play an important role in powering the emerging generation of foundational AI models in life sciences. Foundational models require massive volumes of consistent, reproducible and biologically rich datasets to learn complex cellular behaviors, detect subtle phenotypic changes and generalize across disease contexts. Our platform uniquely positions customers to generate this class of data by combining attomolar sensitivity with automated, high-throughput processing, which is the ability to process a large number of samples or assays in a short period of time, enabling researchers to detect low-abundance proteins in accessible sample types such as blood and plasma that other platforms may not reliably measure.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solution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platform is a fully integrated and fully automated proteomic analysis solution built around our NULISA technology. It is comprised of proprietary instruments, consumables and analytical software, enabling data analysis for biological insights. The platform was developed to serve the continuum: from enabling research scientists to seamlessly detect low-abundance protein targets from multiplex discovery, to characterize their effects in translational research and, ultimately, for the future development of single-plex and multiplex diagnostics.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951220" cy="2368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51220" cy="236855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ARGO HT System</w:t>
            </w:r>
            <w:r>
              <w:rPr>
                <w:rFonts w:ascii="arial" w:hAnsi="arial"/>
                <w:b/>
                <w:sz w:val="20"/>
              </w:rPr>
              <w:t xml:space="preserve">. </w:t>
            </w:r>
            <w:r>
              <w:rPr>
                <w:rFonts w:ascii="arial" w:hAnsi="arial"/>
                <w:sz w:val="20"/>
              </w:rPr>
              <w:t xml:space="preserve">Our current instrument, the ARGO HT System, is designed to fully automate high-sensitivity and high-plex proteomic analysis. It is a benchtop instrument that is compliant with ISO 13485, an international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quality management standard specifically for the medical device industry, supporting both high-plex discovery and targeted clinical applications using NGS or qPCR detection formats, without compromising sensitivity or specificity. The system is designed for true walk-away automation, requiring less than 30 minutes of hands-on time. Our instrument can complete a full run in under eight hours, and with the addition of an external sequencing step for multiplexing, results are available in as few as sixteen hours. Our platform is compatible with a number of commercially available sequencing systems, providing customers with flexibility to choose their sequencer of choice, either in house or using a third-party provider.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Consumables.</w:t>
            </w:r>
            <w:r>
              <w:rPr>
                <w:rFonts w:ascii="arial" w:hAnsi="arial"/>
                <w:sz w:val="20"/>
              </w:rPr>
              <w:t xml:space="preserve"> We deliver highly differentiated, disease-focused assays designed for the detection of specific proteins of interest. Our assay menu is developed in close collaboration with leading scientists to address the most pressing needs in biomedical research. Our current offerings focus on key biomarkers in neurology and immunology, with additional panels in development for cardiovascular disease, metabolic disease, oncology and health monitoring.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i/>
                <w:sz w:val="20"/>
              </w:rPr>
              <w:t>Software.</w:t>
            </w:r>
            <w:r>
              <w:rPr>
                <w:rFonts w:ascii="arial" w:hAnsi="arial"/>
                <w:sz w:val="20"/>
              </w:rPr>
              <w:t xml:space="preserve"> Data analysis and software capabilities are integral to our platform, by enabling users to move efficiently from experimental setup to actionable biological insights. Our proprietary software controls the instrument, manages protocol execution and provides users with comprehensive data analysis, converting raw assay signals into quantitative concentrations for each protein target. We are committed to data security and have undergone an independent SOC 2 audit, confirming our controls for security, availability and confidentiality.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market opportunity </w:t>
      </w:r>
    </w:p>
    <w:p>
      <w:pPr>
        <w:pStyle w:val="TextBody"/>
        <w:bidi w:val="0"/>
        <w:spacing w:before="0" w:after="0"/>
        <w:jc w:val="left"/>
        <w:rPr>
          <w:bdr w:val="single" w:sz="2" w:space="1" w:color="000000"/>
        </w:rPr>
      </w:pPr>
      <w:r>
        <w:rPr>
          <w:bdr w:val="single" w:sz="2" w:space="1" w:color="000000"/>
        </w:rPr>
        <w: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our technology is well-suited to address large and growing markets across proteomics research and protein-based clinical diagnostics. We estimate these markets are nearly $50 billion today, consisting of approximately $19 billion from proteomics research and over $30 billion from immunoassays.1,2 Together, we expect these markets can grow to nearly $80 billion over the next decade.3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951220" cy="218503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51220" cy="2185035"/>
                    </a:xfrm>
                    <a:prstGeom prst="rect">
                      <a:avLst/>
                    </a:prstGeom>
                  </pic:spPr>
                </pic:pic>
              </a:graphicData>
            </a:graphic>
          </wp:inline>
        </w:drawing>
      </w:r>
      <w:r>
        <w:rPr>
          <w:bdr w:val="single" w:sz="2" w:space="1" w:color="000000"/>
        </w:rPr>
        <w:t xml:space="preserv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Advanced protein analysis, or advanced proteomics, is the fastest growing segment of the proteomics research market powered by next-generation tools that enable multiplex protein detection and/or ultra-sensitive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Proteomics Market Size &amp; Growth Forecast to 2030</w:t>
            </w:r>
            <w:r>
              <w:rPr/>
              <w:t xml:space="preserve">, March 2026.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2 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Precedence Research, </w:t>
            </w:r>
            <w:r>
              <w:rPr>
                <w:i/>
              </w:rPr>
              <w:t>Immunoassay Market Size, Share and Trends 2026 – 2035</w:t>
            </w:r>
            <w:r>
              <w:rPr/>
              <w:t xml:space="preserve">,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3 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We estimate this market by applying an estimated 6% CAGR from MarketsandMarkets to the $19 billion research diagnostics market and 4% CAGR from Precedence Research to the $30 billion immunoassay market today.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measurement. We believe these tools will expand the use of clinically relevant protein biomarkers into </w:t>
      </w:r>
    </w:p>
    <w:p>
      <w:pPr>
        <w:pStyle w:val="TextBody"/>
        <w:bidi w:val="0"/>
        <w:spacing w:before="0" w:after="0"/>
        <w:jc w:val="left"/>
        <w:rPr>
          <w:rFonts w:ascii="arial" w:hAnsi="arial"/>
          <w:sz w:val="20"/>
          <w:bdr w:val="single" w:sz="2" w:space="1" w:color="000000"/>
        </w:rPr>
      </w:pPr>
      <w:r>
        <w:rPr>
          <w:rFonts w:ascii="arial" w:hAnsi="arial"/>
          <w:sz w:val="20"/>
          <w:bdr w:val="single" w:sz="2" w:space="1" w:color="000000"/>
        </w:rPr>
        <w:t xml:space="preserve">advanced proteomics clinical diagnostics. We estimate the advanced proteomics market segment to be approximately $4.1 billion today across research and clinical diagnostics and believe this market segment can grow to approximately $20 billion over the next decade.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a significant portion of this growth will be driven by the translation of biomarkers into clinical assays that enable improved diagnosis, prognosis, therapy guidance, therapy monitoring, MRD/active surveillance and early disease detection. We believe our Precision Proteomics platform provides the sensitivity and multiplex capabilities required to effectively drive outcomes across these areas in clinical diagnostics, if successfully developed and authorized for such uses. In particular, the Alzheimer’s disease market is expected to be one of the fastest growing segments of the clinical diagnostics market over the next decade, driven by an aging population, shifts toward earlier and non-invasive diagnostics, and these recent breakthroughs in disease-modifying therapies. We believe high-sensitivity protein panels and multianalyte assays will be central to earlier and more accurate detection of various neurodegenerative processes.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competitive strengths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growth is fueled by a set of key competitive strengths that position us to accelerate the field of proteomics and establish ourselves as the industry gold standard. Our competitive strengths include: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Uniquely combining five pillars of ultra-high sensitivity, high specificity, flexible multiplexing, broad dynamic range and seamless automation to power Precision Proteomics.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Integrated platform enables broad and scalable adoption.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Broad application across the full biomarker continuum, from basic discovery to potential clinical diagnostics.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Content fueled by innovative research and deep community partnership.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Rapid scientific validation of our exceptional product performance.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Experienced leadership with a proven track record.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growth strategy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plan to systematically develop the RUO market and expand our customer base to realize our mission of powering the next wave of Precision Proteomics and enabling the earliest detection of disease. Our growth strategy focuses on five key priorities: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Grow installed base and establish market leadership in proteomics.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Increase utilization through novel content expansion.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Accelerate diagnostic enablement strategy and drive clinical LDT and IVD adoption.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Broaden access for emerging and smaller labs.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Create an ecosystem for proteomics.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Recent developments </w:t>
      </w:r>
    </w:p>
    <w:p>
      <w:pPr>
        <w:pStyle w:val="TextBody"/>
        <w:bidi w:val="0"/>
        <w:spacing w:before="160" w:after="0"/>
        <w:jc w:val="left"/>
        <w:rPr>
          <w:rFonts w:ascii="arial" w:hAnsi="arial"/>
          <w:b/>
          <w:i/>
          <w:sz w:val="24"/>
          <w:bdr w:val="single" w:sz="2" w:space="1" w:color="000000"/>
        </w:rPr>
      </w:pPr>
      <w:r>
        <w:rPr>
          <w:rFonts w:ascii="arial" w:hAnsi="arial"/>
          <w:b/>
          <w:i/>
          <w:sz w:val="24"/>
          <w:bdr w:val="single" w:sz="2" w:space="1" w:color="000000"/>
        </w:rPr>
        <w:t xml:space="preserve">Preliminary estimated selected financial results for the three months ended March 31, 2026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financial results for the three months ended March 31, 2026 are not yet complete and will not be available until after the completion of this offering. Accordingly, set forth below are certain preliminary estimated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selected unaudited financial results for the three months ended March 31, 2026 and the corresponding period of the prior fiscal year. We have provided ranges, rather than specific amounts, for the three months ended March 31, 2026, because our closing procedures for the quarter-end financial closing process are not yet complete, these results are preliminary and subject to change, and there is a possibility that our actual results may differ from these preliminary estimates. These ranges are based on the information available to us as of the date of this prospectus. These preliminary estimated results for the three months ended March 31, 2026 are derived from our preliminary internal financial records and are subject to revisions based on our procedures and controls associated with the completion of our financial reporting, including all the customary reviews and approvals, and completion by our independent registered public accounting firm of its review of such financial statements for the quarter ended March 31, 2026. These preliminary estimated results should not be viewed as a substitute for financial statements prepared in accordance with U.S. GAAP. Our independent registered public accounting firm, Ernst &amp; Young LLP, has not audited, reviewed, compiled or performed any procedures with respect to this preliminary financial information and, accordingly, Ernst &amp; Young LLP does not express an opinion or any other form of assurance with respect thereto. It is possible that we or our independent registered public accounting firm may identify items that would require us to make adjustments to the preliminary estimates set forth below as we complete our financial statements and that our actual results may differ from these preliminary estimates. Accordingly, undue reliance should not be placed on these preliminary estimates. These preliminary estimates are not necessarily indicative of any future period and should be read together with “Risk factors,” “Special note regarding forward-looking statements,” “Management’s discussion and analysis of financial condition and results of operations” and our financial statements and related notes included elsewhere in this prospectus.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4570"/>
        <w:gridCol w:w="442"/>
        <w:gridCol w:w="235"/>
        <w:gridCol w:w="1248"/>
        <w:gridCol w:w="155"/>
        <w:gridCol w:w="396"/>
        <w:gridCol w:w="245"/>
        <w:gridCol w:w="1365"/>
        <w:gridCol w:w="155"/>
        <w:gridCol w:w="396"/>
        <w:gridCol w:w="140"/>
        <w:gridCol w:w="697"/>
        <w:gridCol w:w="161"/>
      </w:tblGrid>
      <w:tr>
        <w:trPr/>
        <w:tc>
          <w:tcPr>
            <w:tcW w:w="4570"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570" w:type="dxa"/>
            <w:tcBorders>
              <w:top w:val="single" w:sz="16" w:space="0" w:color="000000"/>
            </w:tcBorders>
            <w:tcMar>
              <w:top w:w="28" w:type="dxa"/>
            </w:tcMar>
            <w:vAlign w:val="center"/>
          </w:tcPr>
          <w:p>
            <w:pPr>
              <w:pStyle w:val="TableContents"/>
              <w:bidi w:val="0"/>
              <w:spacing w:before="0" w:after="283"/>
              <w:jc w:val="left"/>
              <w:rPr/>
            </w:pPr>
            <w:r>
              <w:rPr/>
              <w:t> </w:t>
            </w:r>
          </w:p>
        </w:tc>
        <w:tc>
          <w:tcPr>
            <w:tcW w:w="563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5032" w:type="dxa"/>
            <w:gridSpan w:val="10"/>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161" w:type="dxa"/>
            <w:tcBorders/>
            <w:vAlign w:val="bottom"/>
          </w:tcPr>
          <w:p>
            <w:pPr>
              <w:pStyle w:val="TableContents"/>
              <w:bidi w:val="0"/>
              <w:spacing w:before="0" w:after="283"/>
              <w:jc w:val="left"/>
              <w:rPr/>
            </w:pPr>
            <w:r>
              <w:rPr/>
              <w:t> </w:t>
            </w:r>
          </w:p>
        </w:tc>
      </w:tr>
      <w:tr>
        <w:trPr/>
        <w:tc>
          <w:tcPr>
            <w:tcW w:w="4570"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42" w:type="dxa"/>
            <w:tcBorders>
              <w:bottom w:val="single" w:sz="2" w:space="0" w:color="000000"/>
            </w:tcBorders>
            <w:tcMar>
              <w:bottom w:w="28" w:type="dxa"/>
            </w:tcMar>
            <w:vAlign w:val="bottom"/>
          </w:tcPr>
          <w:p>
            <w:pPr>
              <w:pStyle w:val="TableContents"/>
              <w:bidi w:val="0"/>
              <w:spacing w:before="0" w:after="283"/>
              <w:jc w:val="left"/>
              <w:rPr/>
            </w:pPr>
            <w:r>
              <w:rPr/>
              <w:t>  </w:t>
            </w:r>
          </w:p>
        </w:tc>
        <w:tc>
          <w:tcPr>
            <w:tcW w:w="14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br/>
              <w:t>(estimated low)</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96" w:type="dxa"/>
            <w:tcBorders>
              <w:bottom w:val="single" w:sz="2" w:space="0" w:color="000000"/>
            </w:tcBorders>
            <w:tcMar>
              <w:bottom w:w="28" w:type="dxa"/>
            </w:tcMar>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br/>
              <w:t>(estimated high)</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96" w:type="dxa"/>
            <w:tcBorders>
              <w:bottom w:val="single" w:sz="2" w:space="0" w:color="000000"/>
            </w:tcBorders>
            <w:tcMar>
              <w:bottom w:w="28" w:type="dxa"/>
            </w:tcMar>
            <w:vAlign w:val="bottom"/>
          </w:tcPr>
          <w:p>
            <w:pPr>
              <w:pStyle w:val="TableContents"/>
              <w:bidi w:val="0"/>
              <w:spacing w:before="0" w:after="283"/>
              <w:jc w:val="left"/>
              <w:rPr/>
            </w:pPr>
            <w:r>
              <w:rPr/>
              <w:t> </w:t>
            </w:r>
          </w:p>
        </w:tc>
        <w:tc>
          <w:tcPr>
            <w:tcW w:w="8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br/>
              <w:t>(actual)</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5032" w:type="dxa"/>
            <w:gridSpan w:val="10"/>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rHeight w:val="75" w:hRule="atLeast"/>
        </w:trPr>
        <w:tc>
          <w:tcPr>
            <w:tcW w:w="4570" w:type="dxa"/>
            <w:tcBorders/>
            <w:vAlign w:val="center"/>
          </w:tcPr>
          <w:p>
            <w:pPr>
              <w:pStyle w:val="TableContents"/>
              <w:bidi w:val="0"/>
              <w:spacing w:before="0" w:after="283"/>
              <w:jc w:val="left"/>
              <w:rPr>
                <w:sz w:val="4"/>
                <w:szCs w:val="4"/>
              </w:rPr>
            </w:pPr>
            <w:r>
              <w:rPr>
                <w:sz w:val="4"/>
                <w:szCs w:val="4"/>
              </w:rPr>
            </w:r>
          </w:p>
        </w:tc>
        <w:tc>
          <w:tcPr>
            <w:tcW w:w="2080" w:type="dxa"/>
            <w:gridSpan w:val="4"/>
            <w:tcBorders/>
            <w:vAlign w:val="center"/>
          </w:tcPr>
          <w:p>
            <w:pPr>
              <w:pStyle w:val="TableContents"/>
              <w:bidi w:val="0"/>
              <w:spacing w:before="0" w:after="283"/>
              <w:jc w:val="left"/>
              <w:rPr>
                <w:sz w:val="4"/>
                <w:szCs w:val="4"/>
              </w:rPr>
            </w:pPr>
            <w:r>
              <w:rPr>
                <w:sz w:val="4"/>
                <w:szCs w:val="4"/>
              </w:rPr>
            </w:r>
          </w:p>
        </w:tc>
        <w:tc>
          <w:tcPr>
            <w:tcW w:w="2161"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r>
      <w:tr>
        <w:trPr/>
        <w:tc>
          <w:tcPr>
            <w:tcW w:w="4570" w:type="dxa"/>
            <w:tcBorders/>
            <w:shd w:fill="CCEEFF" w:val="clear"/>
          </w:tcPr>
          <w:p>
            <w:pPr>
              <w:pStyle w:val="TableContents"/>
              <w:bidi w:val="0"/>
              <w:spacing w:before="0" w:after="0"/>
              <w:jc w:val="left"/>
              <w:rPr>
                <w:rFonts w:ascii="arial" w:hAnsi="arial"/>
                <w:b/>
                <w:sz w:val="20"/>
              </w:rPr>
            </w:pPr>
            <w:r>
              <w:rPr>
                <w:rFonts w:ascii="arial" w:hAnsi="arial"/>
                <w:b/>
                <w:sz w:val="20"/>
              </w:rPr>
              <w:t>Preliminary estimated financial results:</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2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4570" w:type="dxa"/>
            <w:tcBorders/>
            <w:vAlign w:val="center"/>
          </w:tcPr>
          <w:p>
            <w:pPr>
              <w:pStyle w:val="TableContents"/>
              <w:bidi w:val="0"/>
              <w:spacing w:before="0" w:after="283"/>
              <w:jc w:val="left"/>
              <w:rPr>
                <w:sz w:val="4"/>
                <w:szCs w:val="4"/>
              </w:rPr>
            </w:pPr>
            <w:r>
              <w:rPr>
                <w:sz w:val="4"/>
                <w:szCs w:val="4"/>
              </w:rPr>
            </w:r>
          </w:p>
        </w:tc>
        <w:tc>
          <w:tcPr>
            <w:tcW w:w="2080" w:type="dxa"/>
            <w:gridSpan w:val="4"/>
            <w:tcBorders/>
            <w:vAlign w:val="center"/>
          </w:tcPr>
          <w:p>
            <w:pPr>
              <w:pStyle w:val="TableContents"/>
              <w:bidi w:val="0"/>
              <w:spacing w:before="0" w:after="283"/>
              <w:jc w:val="left"/>
              <w:rPr>
                <w:sz w:val="4"/>
                <w:szCs w:val="4"/>
              </w:rPr>
            </w:pPr>
            <w:r>
              <w:rPr>
                <w:sz w:val="4"/>
                <w:szCs w:val="4"/>
              </w:rPr>
            </w:r>
          </w:p>
        </w:tc>
        <w:tc>
          <w:tcPr>
            <w:tcW w:w="2161"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0"/>
              <w:jc w:val="left"/>
              <w:rPr>
                <w:rFonts w:ascii="arial" w:hAnsi="arial"/>
                <w:sz w:val="20"/>
              </w:rPr>
            </w:pPr>
            <w:r>
              <w:rPr>
                <w:rFonts w:ascii="arial" w:hAnsi="arial"/>
                <w:sz w:val="20"/>
              </w:rPr>
              <w:t>Revenue:</w:t>
            </w:r>
          </w:p>
        </w:tc>
        <w:tc>
          <w:tcPr>
            <w:tcW w:w="442" w:type="dxa"/>
            <w:tcBorders/>
            <w:vAlign w:val="bottom"/>
          </w:tcPr>
          <w:p>
            <w:pPr>
              <w:pStyle w:val="TableContents"/>
              <w:bidi w:val="0"/>
              <w:spacing w:before="0" w:after="283"/>
              <w:jc w:val="left"/>
              <w:rPr/>
            </w:pPr>
            <w:r>
              <w:rPr/>
              <w:t>  </w:t>
            </w:r>
          </w:p>
        </w:tc>
        <w:tc>
          <w:tcPr>
            <w:tcW w:w="235" w:type="dxa"/>
            <w:tcBorders/>
          </w:tcPr>
          <w:p>
            <w:pPr>
              <w:pStyle w:val="TableContents"/>
              <w:bidi w:val="0"/>
              <w:spacing w:before="0" w:after="283"/>
              <w:jc w:val="left"/>
              <w:rPr>
                <w:sz w:val="4"/>
                <w:szCs w:val="4"/>
              </w:rPr>
            </w:pPr>
            <w:r>
              <w:rPr>
                <w:sz w:val="4"/>
                <w:szCs w:val="4"/>
              </w:rPr>
            </w:r>
          </w:p>
        </w:tc>
        <w:tc>
          <w:tcPr>
            <w:tcW w:w="1248"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136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697" w:type="dxa"/>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570" w:type="dxa"/>
            <w:tcBorders/>
            <w:shd w:fill="CCEEFF" w:val="clear"/>
          </w:tcPr>
          <w:p>
            <w:pPr>
              <w:pStyle w:val="TableContents"/>
              <w:bidi w:val="0"/>
              <w:spacing w:before="0" w:after="0"/>
              <w:jc w:val="left"/>
              <w:rPr>
                <w:rFonts w:ascii="arial" w:hAnsi="arial"/>
                <w:sz w:val="20"/>
              </w:rPr>
            </w:pPr>
            <w:r>
              <w:rPr>
                <w:rFonts w:ascii="arial" w:hAnsi="arial"/>
                <w:sz w:val="20"/>
              </w:rPr>
              <w:t>Product revenue</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248" w:type="dxa"/>
            <w:tcBorders/>
            <w:shd w:fill="CCEEFF" w:val="clear"/>
            <w:vAlign w:val="bottom"/>
          </w:tcPr>
          <w:p>
            <w:pPr>
              <w:pStyle w:val="TableContents"/>
              <w:bidi w:val="0"/>
              <w:spacing w:before="0" w:after="283"/>
              <w:jc w:val="right"/>
              <w:rPr/>
            </w:pPr>
            <w:r>
              <w:rPr/>
              <w:t>20,700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21,500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9,169</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arial" w:hAnsi="arial"/>
                <w:sz w:val="20"/>
              </w:rPr>
            </w:pPr>
            <w:r>
              <w:rPr>
                <w:rFonts w:ascii="arial" w:hAnsi="arial"/>
                <w:sz w:val="20"/>
              </w:rPr>
              <w:t>Service and other revenue</w:t>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4,500</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4,700</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3,922</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4797"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arial" w:hAnsi="arial"/>
                <w:sz w:val="20"/>
              </w:rPr>
            </w:pPr>
            <w:r>
              <w:rPr>
                <w:rFonts w:ascii="arial" w:hAnsi="arial"/>
                <w:sz w:val="20"/>
              </w:rPr>
              <w:t>Total revenue</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25,200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26,200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13,091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4797"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75" w:hRule="atLeast"/>
        </w:trPr>
        <w:tc>
          <w:tcPr>
            <w:tcW w:w="4570" w:type="dxa"/>
            <w:tcBorders/>
            <w:vAlign w:val="center"/>
          </w:tcPr>
          <w:p>
            <w:pPr>
              <w:pStyle w:val="TableContents"/>
              <w:bidi w:val="0"/>
              <w:spacing w:before="0" w:after="283"/>
              <w:jc w:val="left"/>
              <w:rPr>
                <w:sz w:val="4"/>
                <w:szCs w:val="4"/>
              </w:rPr>
            </w:pPr>
            <w:r>
              <w:rPr>
                <w:sz w:val="4"/>
                <w:szCs w:val="4"/>
              </w:rPr>
            </w:r>
          </w:p>
        </w:tc>
        <w:tc>
          <w:tcPr>
            <w:tcW w:w="2080" w:type="dxa"/>
            <w:gridSpan w:val="4"/>
            <w:tcBorders/>
            <w:vAlign w:val="center"/>
          </w:tcPr>
          <w:p>
            <w:pPr>
              <w:pStyle w:val="TableContents"/>
              <w:bidi w:val="0"/>
              <w:spacing w:before="0" w:after="283"/>
              <w:jc w:val="left"/>
              <w:rPr>
                <w:sz w:val="4"/>
                <w:szCs w:val="4"/>
              </w:rPr>
            </w:pPr>
            <w:r>
              <w:rPr>
                <w:sz w:val="4"/>
                <w:szCs w:val="4"/>
              </w:rPr>
            </w:r>
          </w:p>
        </w:tc>
        <w:tc>
          <w:tcPr>
            <w:tcW w:w="2161"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0"/>
              <w:jc w:val="left"/>
              <w:rPr>
                <w:rFonts w:ascii="arial" w:hAnsi="arial"/>
                <w:sz w:val="20"/>
              </w:rPr>
            </w:pPr>
            <w:r>
              <w:rPr>
                <w:rFonts w:ascii="arial" w:hAnsi="arial"/>
                <w:sz w:val="20"/>
              </w:rPr>
              <w:t>Cost of revenue</w:t>
            </w:r>
          </w:p>
        </w:tc>
        <w:tc>
          <w:tcPr>
            <w:tcW w:w="442" w:type="dxa"/>
            <w:tcBorders/>
            <w:vAlign w:val="bottom"/>
          </w:tcPr>
          <w:p>
            <w:pPr>
              <w:pStyle w:val="TableContents"/>
              <w:bidi w:val="0"/>
              <w:spacing w:before="0" w:after="283"/>
              <w:jc w:val="left"/>
              <w:rPr/>
            </w:pPr>
            <w:r>
              <w:rPr/>
              <w:t>  </w:t>
            </w:r>
          </w:p>
        </w:tc>
        <w:tc>
          <w:tcPr>
            <w:tcW w:w="235" w:type="dxa"/>
            <w:tcBorders/>
          </w:tcPr>
          <w:p>
            <w:pPr>
              <w:pStyle w:val="TableContents"/>
              <w:bidi w:val="0"/>
              <w:spacing w:before="0" w:after="283"/>
              <w:jc w:val="left"/>
              <w:rPr>
                <w:sz w:val="4"/>
                <w:szCs w:val="4"/>
              </w:rPr>
            </w:pPr>
            <w:r>
              <w:rPr>
                <w:sz w:val="4"/>
                <w:szCs w:val="4"/>
              </w:rPr>
            </w:r>
          </w:p>
        </w:tc>
        <w:tc>
          <w:tcPr>
            <w:tcW w:w="1248"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136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697" w:type="dxa"/>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570" w:type="dxa"/>
            <w:tcBorders/>
            <w:shd w:fill="CCEEFF" w:val="clear"/>
          </w:tcPr>
          <w:p>
            <w:pPr>
              <w:pStyle w:val="TableContents"/>
              <w:bidi w:val="0"/>
              <w:spacing w:before="0" w:after="0"/>
              <w:jc w:val="left"/>
              <w:rPr>
                <w:rFonts w:ascii="arial" w:hAnsi="arial"/>
                <w:sz w:val="20"/>
              </w:rPr>
            </w:pPr>
            <w:r>
              <w:rPr>
                <w:rFonts w:ascii="arial" w:hAnsi="arial"/>
                <w:sz w:val="20"/>
              </w:rPr>
              <w:t>Cost of product revenue</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9,700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10,050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5,371</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arial" w:hAnsi="arial"/>
                <w:sz w:val="20"/>
              </w:rPr>
            </w:pPr>
            <w:r>
              <w:rPr>
                <w:rFonts w:ascii="arial" w:hAnsi="arial"/>
                <w:sz w:val="20"/>
              </w:rPr>
              <w:t>Cost of service and other revenue</w:t>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1,750</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1,800</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1,331</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4797"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arial" w:hAnsi="arial"/>
                <w:sz w:val="20"/>
              </w:rPr>
            </w:pPr>
            <w:r>
              <w:rPr>
                <w:rFonts w:ascii="arial" w:hAnsi="arial"/>
                <w:sz w:val="20"/>
              </w:rPr>
              <w:t>Total cost of revenue</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11,450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11,850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6,702</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4797"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75" w:hRule="atLeast"/>
        </w:trPr>
        <w:tc>
          <w:tcPr>
            <w:tcW w:w="4570" w:type="dxa"/>
            <w:tcBorders/>
            <w:vAlign w:val="center"/>
          </w:tcPr>
          <w:p>
            <w:pPr>
              <w:pStyle w:val="TableContents"/>
              <w:bidi w:val="0"/>
              <w:spacing w:before="0" w:after="283"/>
              <w:jc w:val="left"/>
              <w:rPr>
                <w:sz w:val="4"/>
                <w:szCs w:val="4"/>
              </w:rPr>
            </w:pPr>
            <w:r>
              <w:rPr>
                <w:sz w:val="4"/>
                <w:szCs w:val="4"/>
              </w:rPr>
            </w:r>
          </w:p>
        </w:tc>
        <w:tc>
          <w:tcPr>
            <w:tcW w:w="2080" w:type="dxa"/>
            <w:gridSpan w:val="4"/>
            <w:tcBorders/>
            <w:vAlign w:val="center"/>
          </w:tcPr>
          <w:p>
            <w:pPr>
              <w:pStyle w:val="TableContents"/>
              <w:bidi w:val="0"/>
              <w:spacing w:before="0" w:after="283"/>
              <w:jc w:val="left"/>
              <w:rPr>
                <w:sz w:val="4"/>
                <w:szCs w:val="4"/>
              </w:rPr>
            </w:pPr>
            <w:r>
              <w:rPr>
                <w:sz w:val="4"/>
                <w:szCs w:val="4"/>
              </w:rPr>
            </w:r>
          </w:p>
        </w:tc>
        <w:tc>
          <w:tcPr>
            <w:tcW w:w="2161"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0"/>
              <w:jc w:val="left"/>
              <w:rPr>
                <w:rFonts w:ascii="arial" w:hAnsi="arial"/>
                <w:sz w:val="20"/>
              </w:rPr>
            </w:pPr>
            <w:r>
              <w:rPr>
                <w:rFonts w:ascii="arial" w:hAnsi="arial"/>
                <w:sz w:val="20"/>
              </w:rPr>
              <w:t>Operating expenses:</w:t>
            </w:r>
          </w:p>
        </w:tc>
        <w:tc>
          <w:tcPr>
            <w:tcW w:w="442" w:type="dxa"/>
            <w:tcBorders/>
            <w:vAlign w:val="bottom"/>
          </w:tcPr>
          <w:p>
            <w:pPr>
              <w:pStyle w:val="TableContents"/>
              <w:bidi w:val="0"/>
              <w:spacing w:before="0" w:after="283"/>
              <w:jc w:val="left"/>
              <w:rPr/>
            </w:pPr>
            <w:r>
              <w:rPr/>
              <w:t>  </w:t>
            </w:r>
          </w:p>
        </w:tc>
        <w:tc>
          <w:tcPr>
            <w:tcW w:w="235" w:type="dxa"/>
            <w:tcBorders/>
          </w:tcPr>
          <w:p>
            <w:pPr>
              <w:pStyle w:val="TableContents"/>
              <w:bidi w:val="0"/>
              <w:spacing w:before="0" w:after="283"/>
              <w:jc w:val="left"/>
              <w:rPr>
                <w:sz w:val="4"/>
                <w:szCs w:val="4"/>
              </w:rPr>
            </w:pPr>
            <w:r>
              <w:rPr>
                <w:sz w:val="4"/>
                <w:szCs w:val="4"/>
              </w:rPr>
            </w:r>
          </w:p>
        </w:tc>
        <w:tc>
          <w:tcPr>
            <w:tcW w:w="1248"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136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697" w:type="dxa"/>
            <w:tcBorders/>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570" w:type="dxa"/>
            <w:tcBorders/>
            <w:shd w:fill="CCEEFF" w:val="clear"/>
          </w:tcPr>
          <w:p>
            <w:pPr>
              <w:pStyle w:val="TableContents"/>
              <w:bidi w:val="0"/>
              <w:spacing w:before="0" w:after="0"/>
              <w:jc w:val="left"/>
              <w:rPr>
                <w:rFonts w:ascii="arial" w:hAnsi="arial"/>
                <w:sz w:val="20"/>
              </w:rPr>
            </w:pPr>
            <w:r>
              <w:rPr>
                <w:rFonts w:ascii="arial" w:hAnsi="arial"/>
                <w:sz w:val="20"/>
              </w:rPr>
              <w:t>Research and development expenses</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13,100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13,400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8,302</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13,500</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13,800</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6,640</w:t>
            </w:r>
          </w:p>
        </w:tc>
        <w:tc>
          <w:tcPr>
            <w:tcW w:w="161" w:type="dxa"/>
            <w:tcBorders/>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4797"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44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26,600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27,200</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14,942</w:t>
            </w:r>
          </w:p>
        </w:tc>
        <w:tc>
          <w:tcPr>
            <w:tcW w:w="161" w:type="dxa"/>
            <w:tcBorders/>
            <w:shd w:fill="CCEEFF" w:val="clear"/>
            <w:vAlign w:val="bottom"/>
          </w:tcPr>
          <w:p>
            <w:pPr>
              <w:pStyle w:val="TableContents"/>
              <w:bidi w:val="0"/>
              <w:spacing w:before="0" w:after="283"/>
              <w:jc w:val="left"/>
              <w:rPr/>
            </w:pPr>
            <w:r>
              <w:rPr/>
              <w:t> </w:t>
            </w:r>
          </w:p>
        </w:tc>
      </w:tr>
      <w:tr>
        <w:trPr/>
        <w:tc>
          <w:tcPr>
            <w:tcW w:w="457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4797"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0" w:type="dxa"/>
            <w:tcBorders>
              <w:bottom w:val="single" w:sz="2" w:space="0" w:color="000000"/>
            </w:tcBorders>
            <w:tcMar>
              <w:bottom w:w="40" w:type="dxa"/>
            </w:tcMar>
          </w:tcPr>
          <w:p>
            <w:pPr>
              <w:pStyle w:val="TableContents"/>
              <w:bidi w:val="0"/>
              <w:spacing w:before="0" w:after="0"/>
              <w:jc w:val="left"/>
              <w:rPr>
                <w:rFonts w:ascii="arial" w:hAnsi="arial"/>
                <w:sz w:val="20"/>
              </w:rPr>
            </w:pPr>
            <w:r>
              <w:rPr>
                <w:rFonts w:ascii="arial" w:hAnsi="arial"/>
                <w:sz w:val="20"/>
              </w:rPr>
              <w:t>Operating loss</w:t>
            </w:r>
          </w:p>
        </w:tc>
        <w:tc>
          <w:tcPr>
            <w:tcW w:w="442" w:type="dxa"/>
            <w:tcBorders>
              <w:bottom w:val="single" w:sz="2" w:space="0" w:color="000000"/>
            </w:tcBorders>
            <w:tcMar>
              <w:bottom w:w="28" w:type="dxa"/>
            </w:tcMar>
            <w:vAlign w:val="bottom"/>
          </w:tcPr>
          <w:p>
            <w:pPr>
              <w:pStyle w:val="TableContents"/>
              <w:bidi w:val="0"/>
              <w:spacing w:before="0" w:after="283"/>
              <w:jc w:val="left"/>
              <w:rPr/>
            </w:pPr>
            <w:r>
              <w:rPr/>
              <w:t>  </w:t>
            </w:r>
          </w:p>
        </w:tc>
        <w:tc>
          <w:tcPr>
            <w:tcW w:w="235" w:type="dxa"/>
            <w:tcBorders>
              <w:bottom w:val="single" w:sz="2" w:space="0" w:color="000000"/>
            </w:tcBorders>
            <w:tcMar>
              <w:bottom w:w="40" w:type="dxa"/>
            </w:tcMar>
            <w:vAlign w:val="bottom"/>
          </w:tcPr>
          <w:p>
            <w:pPr>
              <w:pStyle w:val="TableContents"/>
              <w:bidi w:val="0"/>
              <w:spacing w:before="0" w:after="283"/>
              <w:jc w:val="left"/>
              <w:rPr/>
            </w:pPr>
            <w:r>
              <w:rPr/>
              <w:t>$</w:t>
            </w:r>
          </w:p>
        </w:tc>
        <w:tc>
          <w:tcPr>
            <w:tcW w:w="1248" w:type="dxa"/>
            <w:tcBorders>
              <w:bottom w:val="single" w:sz="2" w:space="0" w:color="000000"/>
            </w:tcBorders>
            <w:tcMar>
              <w:bottom w:w="40" w:type="dxa"/>
            </w:tcMar>
            <w:vAlign w:val="bottom"/>
          </w:tcPr>
          <w:p>
            <w:pPr>
              <w:pStyle w:val="TableContents"/>
              <w:bidi w:val="0"/>
              <w:spacing w:before="0" w:after="283"/>
              <w:jc w:val="right"/>
              <w:rPr/>
            </w:pPr>
            <w:r>
              <w:rPr/>
              <w:t>(13,250</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396" w:type="dxa"/>
            <w:tcBorders>
              <w:bottom w:val="single" w:sz="2" w:space="0" w:color="000000"/>
            </w:tcBorders>
            <w:tcMar>
              <w:bottom w:w="28" w:type="dxa"/>
            </w:tcMar>
            <w:vAlign w:val="bottom"/>
          </w:tcPr>
          <w:p>
            <w:pPr>
              <w:pStyle w:val="TableContents"/>
              <w:bidi w:val="0"/>
              <w:spacing w:before="0" w:after="283"/>
              <w:jc w:val="left"/>
              <w:rPr/>
            </w:pPr>
            <w:r>
              <w:rPr/>
              <w:t> </w:t>
            </w:r>
          </w:p>
        </w:tc>
        <w:tc>
          <w:tcPr>
            <w:tcW w:w="245" w:type="dxa"/>
            <w:tcBorders>
              <w:bottom w:val="single" w:sz="2" w:space="0" w:color="000000"/>
            </w:tcBorders>
            <w:tcMar>
              <w:bottom w:w="40" w:type="dxa"/>
            </w:tcMar>
            <w:vAlign w:val="bottom"/>
          </w:tcPr>
          <w:p>
            <w:pPr>
              <w:pStyle w:val="TableContents"/>
              <w:bidi w:val="0"/>
              <w:spacing w:before="0" w:after="283"/>
              <w:jc w:val="left"/>
              <w:rPr/>
            </w:pPr>
            <w:r>
              <w:rPr/>
              <w:t>$</w:t>
            </w:r>
          </w:p>
        </w:tc>
        <w:tc>
          <w:tcPr>
            <w:tcW w:w="1365" w:type="dxa"/>
            <w:tcBorders>
              <w:bottom w:val="single" w:sz="2" w:space="0" w:color="000000"/>
            </w:tcBorders>
            <w:tcMar>
              <w:bottom w:w="40" w:type="dxa"/>
            </w:tcMar>
            <w:vAlign w:val="bottom"/>
          </w:tcPr>
          <w:p>
            <w:pPr>
              <w:pStyle w:val="TableContents"/>
              <w:bidi w:val="0"/>
              <w:spacing w:before="0" w:after="283"/>
              <w:jc w:val="right"/>
              <w:rPr/>
            </w:pPr>
            <w:r>
              <w:rPr/>
              <w:t>(12,000</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396"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40" w:type="dxa"/>
            </w:tcMar>
            <w:vAlign w:val="bottom"/>
          </w:tcPr>
          <w:p>
            <w:pPr>
              <w:pStyle w:val="TableContents"/>
              <w:bidi w:val="0"/>
              <w:spacing w:before="0" w:after="283"/>
              <w:jc w:val="left"/>
              <w:rPr/>
            </w:pPr>
            <w:r>
              <w:rPr/>
              <w:t>$</w:t>
            </w:r>
          </w:p>
        </w:tc>
        <w:tc>
          <w:tcPr>
            <w:tcW w:w="697" w:type="dxa"/>
            <w:tcBorders>
              <w:bottom w:val="single" w:sz="2" w:space="0" w:color="000000"/>
            </w:tcBorders>
            <w:tcMar>
              <w:bottom w:w="40" w:type="dxa"/>
            </w:tcMar>
            <w:vAlign w:val="bottom"/>
          </w:tcPr>
          <w:p>
            <w:pPr>
              <w:pStyle w:val="TableContents"/>
              <w:bidi w:val="0"/>
              <w:spacing w:before="0" w:after="283"/>
              <w:jc w:val="right"/>
              <w:rPr/>
            </w:pPr>
            <w:r>
              <w:rPr/>
              <w:t>(8,553</w:t>
            </w:r>
          </w:p>
        </w:tc>
        <w:tc>
          <w:tcPr>
            <w:tcW w:w="161" w:type="dxa"/>
            <w:tcBorders>
              <w:bottom w:val="single" w:sz="2" w:space="0" w:color="000000"/>
            </w:tcBorders>
            <w:tcMar>
              <w:bottom w:w="4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revenue to be between $25.2 million and $26.2 million, compared to $13.1 million for the three months ended March 31, 2025. The expected increase in product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revenue is primarily driven by growth of the instrument installed base and higher average consumable pull-through per instrument leading to higher recurring consumables sales. Revenue also increased due to increased volume of instrument sales. The expected increase in service and other revenue is primarily due to increased TAP services, including services to develop custom assays, as well as higher volumes of instrument maintenance service agreements.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cost of revenue to be between $11.5 million and $11.9 million, compared to $6.7 million for the three months ended March 31, 2025. The expected increase in cost of product revenue is primarily driven by increased sales volume of both instruments and consumables, partially offset by realization of manufacturing efficiencies as consumable production has scaled. The expected increase in cost of service and other revenue is primarily due to an increase in TAP services and services provided under maintenance service agreements.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research and development expenses to be between $13.1 million and $13.4 million, compared to $8.3 million for the three months ended March 31, 2025. The expected increase is primarily due to an increase in lab supply costs to expand our consumable product offerings, as well as increased personnel and consulting costs associated with technology and product development and patent application costs.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selling, general and administrative expenses to be between $13.5 million and $13.8 million, compared to $6.6 million for the three months ended March 31, 2025. The expected increase was primarily driven by an increase in personnel costs including growth of our sales, marketing and support teams as well as other functions and increased professional services costs for legal and accounting services.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Risks factors summary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Investing in our common stock involves substantial risk. The risks described under the section titled “Risk factors” immediately following this prospectus summary may cause us to not realize the full benefits of our objectives or may cause us to be unable to successfully execute all or part of our strategy. Some of the more significant challenges include the following: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limited operating history makes it difficult to evaluate our future prospects and the risks and challenges we may encounter.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proteomics market is highly competitive. If we fail to compete effectively, our business, financial condition and results of operations will suffer.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have been, are and in the future may be, involved in legal proceedings, regulatory inquiries and other legal matters, which may have an adverse effect on our business, financial condition, results of operations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If we do not successfully develop and introduce new assays for our ARGO HT instrument and new versions of our ARGO HT instrument, we may not generate new sources of revenue and may not be able to successfully implement our growth strategy.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business is significantly dependent on researchers who rely heavily on government funding, including NIH grants, and any reduction in, modification of the terms of or delay in such funding could adversely affect our sales and financial performance.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and/or our third-party manufacturing partner may be unable to consistently manufacture our products to the necessary specifications or in quantities necessary to meet demand at an acceptable cost or at an acceptable performance level.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are dependent on single source and sole source suppliers for some of the equipment, components and materials used in our products and in conjunction with our products, and the loss of any of these suppliers could harm our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Enhanced trade tariffs, import restrictions, export restrictions, foreign regulations or other trade barriers may materially harm our business,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long-term results depend upon our ability to improve existing products and technology and develop and introduce new products and technologies successfully.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Conducting business internationally creates operational and financial risks for our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Failure to timely obtain necessary marketing authorizations for our future products that are intended for clinical or diagnostic uses may have a material adverse effect on our business, financial condition, results of operations,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success will depend on our ability to obtain, maintain and protect our intellectual property rights, including through any related litigation. We are and may in the future be party to intellectual property litigation.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Corporate information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founded in May 2018 as a Delaware corporation. Our principal executive offices are located at 47071 Bayside Parkway, Fremont, California 94538, and our telephone number is (510) 626-9888. Our website address is www.alamarbio.com. Information contained in, or accessible through, our website is not a part of this prospectus, and the inclusion of our website address in this prospectus is only an inactive textual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Trademarks and service marks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use the Alamar Biosciences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Implications of being an emerging growth company and a smaller reporting company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relief from the auditor attestation requirements of Section 404 of the Sarbanes-Oxley Act of 2002, as amended (the “Sarbanes-Oxley Act”),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relief from compliance with the requirements of the Public Company Accounting Oversight Board regarding the communication of critical audit matters in the auditor’s report on the financial statements,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less extensive disclosure obligations regarding executive compensation in our registration statements,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periodic reports and proxy statements, exemptions from the requirements to hold a nonbinding advisory vote on executive compensation,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and exemptions from stockholder approval of any golden parachute payments not previously approved.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closing of this offering, (ii) the last day of the year in which we have total annual gross revenue of at least $1.235 billion, (iii) the last day of the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as are required of other public companies that are not emerging growth companies, which may make comparison of our financial information to those of other public companies more difficult.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also a “smaller reporting company,” meaning that the market value of our common stock common stock held by non-affiliates is less than $700.0 million and our annual revenue is less than $100.0 million during the most recently completed fiscal year.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Common stock offered by us </w:t>
            </w:r>
          </w:p>
        </w:tc>
        <w:tc>
          <w:tcPr>
            <w:tcW w:w="6329" w:type="dxa"/>
            <w:tcBorders/>
          </w:tcPr>
          <w:p>
            <w:pPr>
              <w:pStyle w:val="TableContents"/>
              <w:bidi w:val="0"/>
              <w:spacing w:before="0" w:after="283"/>
              <w:jc w:val="left"/>
              <w:rPr/>
            </w:pPr>
            <w:r>
              <w:rPr/>
              <w:t xml:space="preserve">11,250,000 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Option to purchase additional shares </w:t>
            </w:r>
          </w:p>
        </w:tc>
        <w:tc>
          <w:tcPr>
            <w:tcW w:w="6328" w:type="dxa"/>
            <w:tcBorders/>
          </w:tcPr>
          <w:p>
            <w:pPr>
              <w:pStyle w:val="TableContents"/>
              <w:bidi w:val="0"/>
              <w:spacing w:before="0" w:after="283"/>
              <w:jc w:val="left"/>
              <w:rPr/>
            </w:pPr>
            <w:r>
              <w:rPr/>
              <w:t xml:space="preserve">We have granted the underwriters an option exercisable for a period of 30 days after the date of this prospectus to purchase up to 1,687,500 additional shares of our common stock at the initial public offering price, less the underwriting discounts and commissions. </w:t>
            </w:r>
          </w:p>
        </w:tc>
      </w:tr>
    </w:tbl>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Total common stock to be outstanding immediately after this offering </w:t>
            </w:r>
          </w:p>
        </w:tc>
        <w:tc>
          <w:tcPr>
            <w:tcW w:w="6328" w:type="dxa"/>
            <w:tcBorders/>
          </w:tcPr>
          <w:p>
            <w:pPr>
              <w:pStyle w:val="TableContents"/>
              <w:bidi w:val="0"/>
              <w:spacing w:before="0" w:after="283"/>
              <w:jc w:val="left"/>
              <w:rPr/>
            </w:pPr>
            <w:r>
              <w:rPr/>
              <w:t xml:space="preserve">66,521,425 shares (or 68,208,925 shares if the underwriters exercise their option to purchase additional shares in full).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$171.5 million (or approximately $198.2 million if the underwriters exercise their option to purchase additional shares in full), based on the initial public offering price of $17.00 per share,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and cash equivalents, for general corporate purposes, including working capital, operating expenses and capital expenditures. See the section titled “Use of proceeds” for additional information.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6328" w:type="dxa"/>
            <w:tcBorders/>
          </w:tcPr>
          <w:p>
            <w:pPr>
              <w:pStyle w:val="TableContents"/>
              <w:bidi w:val="0"/>
              <w:spacing w:before="0" w:after="283"/>
              <w:jc w:val="left"/>
              <w:rPr/>
            </w:pPr>
            <w:r>
              <w:rPr/>
              <w:t xml:space="preserve">See the section titled “Risk factors” and other information included in this prospectus for a discussion of factors you should consider carefully before deciding to invest in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Nasdaq trading symbol </w:t>
            </w:r>
          </w:p>
        </w:tc>
        <w:tc>
          <w:tcPr>
            <w:tcW w:w="6329" w:type="dxa"/>
            <w:tcBorders/>
          </w:tcPr>
          <w:p>
            <w:pPr>
              <w:pStyle w:val="TableContents"/>
              <w:bidi w:val="0"/>
              <w:spacing w:before="0" w:after="283"/>
              <w:jc w:val="left"/>
              <w:rPr/>
            </w:pPr>
            <w:r>
              <w:rPr/>
              <w:t>“</w:t>
            </w:r>
            <w:r>
              <w:rPr/>
              <w:t xml:space="preserve">ALMR”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number of shares of our common stock to be outstanding after this offering set forth above is based on 55,271,425 shares of our common stock (which include 70,506 shares of our common stock subject to repurchase or vesting as of such date) outstanding as of December 31, 2025, after giving effect to the Preferred Stock Conversion, the Founders Preferred Stock Conversion, the Class A Conversion, the Common Stock Redesignation and the Convertible Notes Conversion (each as defined below), as if each had occurred as of December 31, 2025, and excludes: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5,842,551 shares of our Class B common stock (to be redesignated as common stock in the Common Stock Redesignation) issuable upon the exercise of outstanding stock options issued under our 2018 Stock Plan (the “2018 Plan”) as of December 31, 2025, with a weighted-average exercise price of $3.18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1,769,592 shares of our Class B common stock (to be redesignated as common stock in the Common Stock Redesignation) issuable upon the exercise of outstanding stock options granted under the 2018 Plan subsequent to December 31, 2025, with a weighted-average exercise price of $8.26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112,847 shares of our Class B common stock issuable upon the exercise of warrants, outstanding as of December 31, 2025, with a weighted-average exercise price of $3.55 per share, to purchase Class B common stock (to be redesignated as common stock in the Common Stock Redesignation);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31,251 shares of our common stock issuable upon the exercise of a warrant to purchase shares of our Series C convertible preferred stock, outstanding as of December 31, 2025 (the “Series C Warrant”), which will automatically convert into a warrant to purchase 31,251 shares of our common stock with an exercise price of $7.20 upon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20,253 shares of our Class B common stock (to be redesignated as common stock in the Common Stock Redesignation) issuable upon the conversion of phantom shares, which are issuable upon the exercise of outstanding phantom options granted under our Employee Phantom Option Plan (the “Phantom Plan”) as of December 31, 2025, with a weighted-average exercise price of $4.32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10,102 shares of our Class B common stock (to be redesignated as common stock in the Common Stock Redesignation) issuable upon the conversion of phantom shares, which are issuable upon the exercise of outstanding phantom options granted under the Phantom Plan subsequent to December 31, 2025, with a weighted-average exercise price of $9.00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14,079,974 shares of our common stock reserved for future issuance under our 2026 Equity Incentive Plan (the “2026 Plan”), which became effective upon the execution and delivery of the underwriting agreement for this offering, which shares include 7,220,000 new shares plus the number of shares (not to exceed 6,859,974 shares) (i) that remain available for the issuance of awards under the 2018 Plan at the time the 2026 Plan became effective and (ii) any shares underlying outstanding stock awards granted under the 2018 Plan that, on or after the date that the 2026 Plan became effective, terminate or expire or are repurchased, forfeited, cancelled or withheld, as more fully described in the section titled “Executive and director compensation—Equity incentive plans”, as well as any automatic increases in the number of shares of our common stock reserved for future issuance under the 2026 Plan;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1,396,974 shares of our common stock issuable upon the exercise of stock options granted to certain of our directors and officers on the date hereof under the 2026 Plan at an exercise price equal to the initial public offering price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314,611 shares of our common stock issuable upon the vesting and settlement of restricted stock units (“RSUs”) to be granted to certain of our directors and officers following the closing of this offering upon our filing of a registration statement on Form S-8;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656,400 shares of our common stock reserved for future issuance under our 2026 Employee Stock Purchase Plan (the “ESPP”), as well as any annual automatic increases in the number of shares of our common stock reserved for future issuance under the ESPP, which became effective upon the execution and delivery of the underwriting agreement for this offering.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Unless otherwise indicated, this prospectus assumes or gives effect to: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1-for-2.418 reverse stock split of our Class A, Class B common stock and Founders Preferred Stock that was effected on April 10, 2026;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convertible preferred stock into an aggregate of 38,824,984 shares of our Class B common stock, which will occur immediately prior to the closing of this offering (the “Preferred Stock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Founders Preferred Stock, par value $0.0001 per share (the “Founders Preferred Stock”), into an aggregate of 488,831 shares of our Class B common stock, which will occur immediately prior to the closing of this offering (the “Founders Preferred Stock Conversion”);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Class A common stock into an aggregate of 9,287,825 shares of our Class B common stock, which will occur immediately prior to the closing of this offering (the “Class A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redesignation (following the Preferred Stock Conversion, the Founders Preferred Stock Conversion and the Class A Conversion) of all then outstanding shares of Class B common stock into an equivalent number of shares of common stock, which will occur immediately prior to the closing of this offering (the “Common Stock Redesignation”);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conversion of the Series C Warrant, outstanding as of December 31, 2025, into a warrant to purchase 31,251 shares of our Class B common stock immediately prior to the closing of this offering (the “Series C Warrant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issuance of 3,910,025 shares of our common stock upon the conversion of $56.5 million aggregate principal amount of our outstanding convertible notes issued in January 2026 (the “Convertible Notes”), based on the initial public offering price of $17.00 per share, which conversion will occur automatically upon the closing of this offering without interest (the “Convertible Notes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redesignation of all shares of Class B common stock underlying outstanding options under our 2018 Plan and outstanding warrants, including the Series C Warrant, into shares of common stock, which will occur immediately prior to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 exercise of the outstanding stock options or warrants referred to above;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 exercise by the underwriters of their option to purchase up to 1,687,500 additional shares of common stock from us in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 purchases of shares of our common stock in this offering by our existing stockholders;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initial public offering price of $17.00 per share;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filing and effectiveness of our amended and restated certificate of incorporation and the effectiveness of our amended and restated bylaws, each of which will occur immediately prior to the closing of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Summary consolidated financial data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following tables summarize our consolidated financial data for the periods and as of the dates indicated. The following summary consolidated statements of operations data for the years ended December 31, 2024 and 2025 and our consolidated balance sheet data as of December 31, 2025 have been derived from our audited consolidated financial statements and related notes included elsewhere in this prospectus. Our consolidated financial statements included elsewhere in this prospectus have been prepared in accordance with GAAP. Our historical results are not necessarily indicative of the results that may be expected for any period in the future. You should read the following summary consolidated financial data together with our consolidated financial statements and related notes included elsewhere in this prospectus and the section titled “Management’s discussion and analysis of financial condition and results of operations.” The summary consolidated financial data included in this section are not intended to replace the consolidated financial statements and related notes included elsewhere in this prospectus and are qualified in their entirety by the consolidated financial statements and related notes included elsewhere in this prospectus.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6740"/>
        <w:gridCol w:w="333"/>
        <w:gridCol w:w="140"/>
        <w:gridCol w:w="1103"/>
        <w:gridCol w:w="155"/>
        <w:gridCol w:w="333"/>
        <w:gridCol w:w="140"/>
        <w:gridCol w:w="1103"/>
        <w:gridCol w:w="158"/>
      </w:tblGrid>
      <w:tr>
        <w:trPr/>
        <w:tc>
          <w:tcPr>
            <w:tcW w:w="674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40" w:type="dxa"/>
            <w:tcBorders>
              <w:top w:val="single" w:sz="16" w:space="0" w:color="000000"/>
            </w:tcBorders>
            <w:tcMar>
              <w:top w:w="28" w:type="dxa"/>
            </w:tcMar>
            <w:vAlign w:val="center"/>
          </w:tcPr>
          <w:p>
            <w:pPr>
              <w:pStyle w:val="TableContents"/>
              <w:bidi w:val="0"/>
              <w:spacing w:before="0" w:after="283"/>
              <w:jc w:val="left"/>
              <w:rPr/>
            </w:pPr>
            <w:r>
              <w:rPr/>
              <w:t> </w:t>
            </w:r>
          </w:p>
        </w:tc>
        <w:tc>
          <w:tcPr>
            <w:tcW w:w="346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974"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8" w:type="dxa"/>
            <w:tcBorders/>
            <w:vAlign w:val="bottom"/>
          </w:tcPr>
          <w:p>
            <w:pPr>
              <w:pStyle w:val="TableContents"/>
              <w:bidi w:val="0"/>
              <w:spacing w:before="0" w:after="283"/>
              <w:jc w:val="left"/>
              <w:rPr/>
            </w:pPr>
            <w:r>
              <w:rPr/>
              <w:t> </w:t>
            </w:r>
          </w:p>
        </w:tc>
      </w:tr>
      <w:tr>
        <w:trPr>
          <w:trHeight w:val="60"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4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4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b/>
                <w:sz w:val="18"/>
              </w:rPr>
            </w:pPr>
            <w:r>
              <w:rPr>
                <w:rFonts w:ascii="arial" w:hAnsi="arial"/>
                <w:b/>
                <w:sz w:val="18"/>
              </w:rPr>
              <w:t>Consolidated statements of operations data:</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tcPr>
          <w:p>
            <w:pPr>
              <w:pStyle w:val="TableContents"/>
              <w:bidi w:val="0"/>
              <w:spacing w:before="0" w:after="0"/>
              <w:jc w:val="left"/>
              <w:rPr>
                <w:rFonts w:ascii="arial" w:hAnsi="arial"/>
                <w:sz w:val="18"/>
              </w:rPr>
            </w:pPr>
            <w:r>
              <w:rPr>
                <w:rFonts w:ascii="arial" w:hAnsi="arial"/>
                <w:sz w:val="18"/>
              </w:rPr>
              <w:t>Revenue:</w:t>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Product revenue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16,370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58,439</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Service and other revenue</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8,772</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15,772</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Total revenue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25,142</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74,211</w:t>
            </w:r>
          </w:p>
        </w:tc>
        <w:tc>
          <w:tcPr>
            <w:tcW w:w="158" w:type="dxa"/>
            <w:tcBorders/>
            <w:shd w:fill="CCEEFF" w:val="clear"/>
            <w:vAlign w:val="bottom"/>
          </w:tcPr>
          <w:p>
            <w:pPr>
              <w:pStyle w:val="TableContents"/>
              <w:bidi w:val="0"/>
              <w:spacing w:before="0" w:after="283"/>
              <w:jc w:val="left"/>
              <w:rPr/>
            </w:pPr>
            <w:r>
              <w:rPr/>
              <w:t> </w:t>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tcPr>
          <w:p>
            <w:pPr>
              <w:pStyle w:val="TableContents"/>
              <w:bidi w:val="0"/>
              <w:spacing w:before="0" w:after="0"/>
              <w:jc w:val="left"/>
              <w:rPr>
                <w:rFonts w:ascii="arial" w:hAnsi="arial"/>
                <w:sz w:val="18"/>
              </w:rPr>
            </w:pPr>
            <w:r>
              <w:rPr>
                <w:rFonts w:ascii="arial" w:hAnsi="arial"/>
                <w:sz w:val="18"/>
              </w:rPr>
              <w:t>Cost of revenue:</w:t>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Cost of product revenue(1)</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14,273</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27,146</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Cost of service and other revenue(1)</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2,262</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5,360</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Total cost of revenue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16,535</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32,506</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Gross profit</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8,607</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41,705</w:t>
            </w:r>
          </w:p>
        </w:tc>
        <w:tc>
          <w:tcPr>
            <w:tcW w:w="158" w:type="dxa"/>
            <w:tcBorders/>
            <w:vAlign w:val="bottom"/>
          </w:tcPr>
          <w:p>
            <w:pPr>
              <w:pStyle w:val="TableContents"/>
              <w:bidi w:val="0"/>
              <w:spacing w:before="0" w:after="283"/>
              <w:jc w:val="left"/>
              <w:rPr/>
            </w:pPr>
            <w:r>
              <w:rPr/>
              <w:t> </w:t>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Operating expenses:</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0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03"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40" w:type="dxa"/>
            <w:tcBorders/>
          </w:tcPr>
          <w:p>
            <w:pPr>
              <w:pStyle w:val="TableContents"/>
              <w:bidi w:val="0"/>
              <w:spacing w:before="0" w:after="0"/>
              <w:jc w:val="left"/>
              <w:rPr>
                <w:rFonts w:ascii="arial" w:hAnsi="arial"/>
                <w:sz w:val="18"/>
              </w:rPr>
            </w:pPr>
            <w:r>
              <w:rPr>
                <w:rFonts w:ascii="arial" w:hAnsi="arial"/>
                <w:sz w:val="18"/>
              </w:rPr>
              <w:t>Research and development(1)</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39,234</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37,471</w:t>
            </w:r>
          </w:p>
        </w:tc>
        <w:tc>
          <w:tcPr>
            <w:tcW w:w="158" w:type="dxa"/>
            <w:tcBorders/>
            <w:vAlign w:val="bottom"/>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Selling, general and administrative(1)</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18,941</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35,568</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Total operating expenses</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58,175</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73,039</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Loss from operations</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(49,568</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(31,334</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Interest income, net</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4,675</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2,160</w:t>
            </w:r>
          </w:p>
        </w:tc>
        <w:tc>
          <w:tcPr>
            <w:tcW w:w="158" w:type="dxa"/>
            <w:tcBorders/>
            <w:vAlign w:val="bottom"/>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Interest expense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(2,078</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(401</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Other expense, net</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421</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 before income tax</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(47,060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(29,154</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Provision for income taxes</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665</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(47,073</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(29,819</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Net loss per share, basic(1)</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(4.40</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(2.58</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 per share, diluted(1)</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(2.58</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Net loss attributable to common stockholders, basic</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(46,269</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(29,819</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 attributable to common stockholders, diluted</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(54,739</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(29,819</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Weighted-average common shares outstanding, basic(2)</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10,521,761</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11,547,702</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Weighted-average common shares outstanding, diluted(2)</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11,890,745</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11,547,702</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Pro forma net loss per share attributable to common stockholders, basic and diluted (unaudited)(3)</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(0.54</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bottom w:val="single" w:sz="2" w:space="0" w:color="000000"/>
            </w:tcBorders>
            <w:shd w:fill="CCEEFF" w:val="clear"/>
            <w:tcMar>
              <w:bottom w:w="40" w:type="dxa"/>
            </w:tcMar>
          </w:tcPr>
          <w:p>
            <w:pPr>
              <w:pStyle w:val="TableContents"/>
              <w:bidi w:val="0"/>
              <w:spacing w:before="0" w:after="0"/>
              <w:jc w:val="left"/>
              <w:rPr>
                <w:rFonts w:ascii="arial" w:hAnsi="arial"/>
                <w:sz w:val="18"/>
              </w:rPr>
            </w:pPr>
            <w:r>
              <w:rPr>
                <w:rFonts w:ascii="arial" w:hAnsi="arial"/>
                <w:sz w:val="18"/>
              </w:rPr>
              <w:t>Pro forma weighted-average shares used to compute net loss per share attributable to common stockholders, basic and diluted (unaudited)(3)</w:t>
            </w:r>
          </w:p>
        </w:tc>
        <w:tc>
          <w:tcPr>
            <w:tcW w:w="33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103"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55"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33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c>
          <w:tcPr>
            <w:tcW w:w="1103" w:type="dxa"/>
            <w:tcBorders>
              <w:bottom w:val="single" w:sz="2" w:space="0" w:color="000000"/>
            </w:tcBorders>
            <w:shd w:fill="CCEEFF" w:val="clear"/>
            <w:tcMar>
              <w:bottom w:w="40" w:type="dxa"/>
            </w:tcMar>
            <w:vAlign w:val="bottom"/>
          </w:tcPr>
          <w:p>
            <w:pPr>
              <w:pStyle w:val="TableContents"/>
              <w:bidi w:val="0"/>
              <w:spacing w:before="0" w:after="283"/>
              <w:jc w:val="right"/>
              <w:rPr/>
            </w:pPr>
            <w:r>
              <w:rPr/>
              <w:t>54,771,543</w:t>
            </w:r>
          </w:p>
        </w:tc>
        <w:tc>
          <w:tcPr>
            <w:tcW w:w="158"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Includes stock-based compensation expenses as follows: </w:t>
            </w:r>
          </w:p>
        </w:tc>
      </w:tr>
    </w:tbl>
    <w:p>
      <w:pPr>
        <w:pStyle w:val="TextBody"/>
        <w:bidi w:val="0"/>
        <w:spacing w:before="0" w:after="0"/>
        <w:jc w:val="left"/>
        <w:rPr>
          <w:bdr w:val="single" w:sz="2" w:space="1" w:color="000000"/>
        </w:rPr>
      </w:pPr>
      <w:r>
        <w:rPr>
          <w:bdr w:val="single" w:sz="2" w:space="1" w:color="000000"/>
        </w:rPr>
        <w:t> </w:t>
      </w:r>
    </w:p>
    <w:tbl>
      <w:tblPr>
        <w:tblW w:w="4850" w:type="pct"/>
        <w:jc w:val="right"/>
        <w:tblInd w:w="0" w:type="dxa"/>
        <w:tblLayout w:type="fixed"/>
        <w:tblCellMar>
          <w:top w:w="0" w:type="dxa"/>
          <w:left w:w="0" w:type="dxa"/>
          <w:bottom w:w="0" w:type="dxa"/>
          <w:right w:w="0" w:type="dxa"/>
        </w:tblCellMar>
      </w:tblPr>
      <w:tblGrid>
        <w:gridCol w:w="6465"/>
        <w:gridCol w:w="439"/>
        <w:gridCol w:w="260"/>
        <w:gridCol w:w="716"/>
        <w:gridCol w:w="111"/>
        <w:gridCol w:w="523"/>
        <w:gridCol w:w="260"/>
        <w:gridCol w:w="1061"/>
        <w:gridCol w:w="63"/>
      </w:tblGrid>
      <w:tr>
        <w:trPr/>
        <w:tc>
          <w:tcPr>
            <w:tcW w:w="6465"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65" w:type="dxa"/>
            <w:tcBorders>
              <w:top w:val="single" w:sz="16" w:space="0" w:color="000000"/>
            </w:tcBorders>
            <w:tcMar>
              <w:top w:w="28" w:type="dxa"/>
            </w:tcMar>
            <w:vAlign w:val="center"/>
          </w:tcPr>
          <w:p>
            <w:pPr>
              <w:pStyle w:val="TableContents"/>
              <w:bidi w:val="0"/>
              <w:spacing w:before="0" w:after="283"/>
              <w:jc w:val="left"/>
              <w:rPr/>
            </w:pPr>
            <w:r>
              <w:rPr/>
              <w:t> </w:t>
            </w:r>
          </w:p>
        </w:tc>
        <w:tc>
          <w:tcPr>
            <w:tcW w:w="343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93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65"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976"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523" w:type="dxa"/>
            <w:tcBorders>
              <w:bottom w:val="single" w:sz="2" w:space="0" w:color="000000"/>
            </w:tcBorders>
            <w:tcMar>
              <w:bottom w:w="28" w:type="dxa"/>
            </w:tcMar>
            <w:vAlign w:val="bottom"/>
          </w:tcPr>
          <w:p>
            <w:pPr>
              <w:pStyle w:val="TableContents"/>
              <w:bidi w:val="0"/>
              <w:spacing w:before="0" w:after="283"/>
              <w:jc w:val="left"/>
              <w:rPr/>
            </w:pPr>
            <w:r>
              <w:rPr/>
              <w:t>  </w:t>
            </w:r>
          </w:p>
        </w:tc>
        <w:tc>
          <w:tcPr>
            <w:tcW w:w="13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Cost of product revenue</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46</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30</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Cost of service and other revenue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32</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Research and development</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342</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991</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Selling, general and administrative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453</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1,795</w:t>
            </w:r>
          </w:p>
        </w:tc>
        <w:tc>
          <w:tcPr>
            <w:tcW w:w="63"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267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65" w:type="dxa"/>
            <w:tcBorders>
              <w:bottom w:val="single" w:sz="2" w:space="0" w:color="000000"/>
            </w:tcBorders>
            <w:shd w:fill="CCEEFF" w:val="clear"/>
            <w:tcMar>
              <w:bottom w:w="40" w:type="dxa"/>
            </w:tcMar>
          </w:tcPr>
          <w:p>
            <w:pPr>
              <w:pStyle w:val="TableContents"/>
              <w:bidi w:val="0"/>
              <w:spacing w:before="0" w:after="0"/>
              <w:jc w:val="left"/>
              <w:rPr>
                <w:rFonts w:ascii="arial" w:hAnsi="arial"/>
                <w:sz w:val="16"/>
              </w:rPr>
            </w:pPr>
            <w:r>
              <w:rPr>
                <w:rFonts w:ascii="arial" w:hAnsi="arial"/>
                <w:sz w:val="16"/>
              </w:rPr>
              <w:t>Total stock-based compensation expense</w:t>
            </w:r>
          </w:p>
        </w:tc>
        <w:tc>
          <w:tcPr>
            <w:tcW w:w="43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716" w:type="dxa"/>
            <w:tcBorders>
              <w:bottom w:val="single" w:sz="2" w:space="0" w:color="000000"/>
            </w:tcBorders>
            <w:shd w:fill="CCEEFF" w:val="clear"/>
            <w:tcMar>
              <w:bottom w:w="40" w:type="dxa"/>
            </w:tcMar>
            <w:vAlign w:val="bottom"/>
          </w:tcPr>
          <w:p>
            <w:pPr>
              <w:pStyle w:val="TableContents"/>
              <w:bidi w:val="0"/>
              <w:spacing w:before="0" w:after="283"/>
              <w:jc w:val="right"/>
              <w:rPr/>
            </w:pPr>
            <w:r>
              <w:rPr/>
              <w:t>873</w:t>
            </w:r>
          </w:p>
        </w:tc>
        <w:tc>
          <w:tcPr>
            <w:tcW w:w="111"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c>
          <w:tcPr>
            <w:tcW w:w="5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1061" w:type="dxa"/>
            <w:tcBorders>
              <w:bottom w:val="single" w:sz="2" w:space="0" w:color="000000"/>
            </w:tcBorders>
            <w:shd w:fill="CCEEFF" w:val="clear"/>
            <w:tcMar>
              <w:bottom w:w="40" w:type="dxa"/>
            </w:tcMar>
            <w:vAlign w:val="bottom"/>
          </w:tcPr>
          <w:p>
            <w:pPr>
              <w:pStyle w:val="TableContents"/>
              <w:bidi w:val="0"/>
              <w:spacing w:before="0" w:after="283"/>
              <w:jc w:val="right"/>
              <w:rPr/>
            </w:pPr>
            <w:r>
              <w:rPr/>
              <w:t>2,870</w:t>
            </w:r>
          </w:p>
        </w:tc>
        <w:tc>
          <w:tcPr>
            <w:tcW w:w="63"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7"/>
        <w:gridCol w:w="104"/>
        <w:gridCol w:w="9884"/>
      </w:tblGrid>
      <w:tr>
        <w:trPr/>
        <w:tc>
          <w:tcPr>
            <w:tcW w:w="217"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See Notes 2 and 16 to our consolidated financial statements included elsewhere in this prospectus for an explanation of the calculation of our basic and diluted net loss per share attributable to common stockholders and the weighted-average number of shares used in the computation of the per share amounts.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7"/>
        <w:gridCol w:w="104"/>
        <w:gridCol w:w="9884"/>
      </w:tblGrid>
      <w:tr>
        <w:trPr/>
        <w:tc>
          <w:tcPr>
            <w:tcW w:w="217" w:type="dxa"/>
            <w:tcBorders/>
          </w:tcPr>
          <w:p>
            <w:pPr>
              <w:pStyle w:val="TableContents"/>
              <w:bidi w:val="0"/>
              <w:spacing w:before="0" w:after="283"/>
              <w:jc w:val="left"/>
              <w:rPr/>
            </w:pPr>
            <w:r>
              <w:rPr/>
              <w:t>(3)</w:t>
            </w:r>
          </w:p>
        </w:tc>
        <w:tc>
          <w:tcPr>
            <w:tcW w:w="104"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Pro forma net loss per share attributable to common stockholders, basic and diluted, for the year ended December 31, 2025 is calculated using the weighted-average number of shares of common stock outstanding, giving effect to the Preferred Stock Conversion, the Founders Preferred Stock Conversion, the Class A Conversion, the Common Stock Redesignation and the Convertible Notes Conversion, as if each had occurred at the beginning of the period. Pro forma net loss per share attributable to common stockholders does not include the shares expected to be sold and related proceeds to be received in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078"/>
        <w:gridCol w:w="343"/>
        <w:gridCol w:w="140"/>
        <w:gridCol w:w="877"/>
        <w:gridCol w:w="155"/>
        <w:gridCol w:w="171"/>
        <w:gridCol w:w="205"/>
        <w:gridCol w:w="1194"/>
        <w:gridCol w:w="171"/>
        <w:gridCol w:w="407"/>
        <w:gridCol w:w="205"/>
        <w:gridCol w:w="1194"/>
        <w:gridCol w:w="65"/>
      </w:tblGrid>
      <w:tr>
        <w:trPr/>
        <w:tc>
          <w:tcPr>
            <w:tcW w:w="507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78" w:type="dxa"/>
            <w:tcBorders>
              <w:top w:val="single" w:sz="16" w:space="0" w:color="000000"/>
            </w:tcBorders>
            <w:tcMar>
              <w:top w:w="28" w:type="dxa"/>
            </w:tcMar>
            <w:vAlign w:val="center"/>
          </w:tcPr>
          <w:p>
            <w:pPr>
              <w:pStyle w:val="TableContents"/>
              <w:bidi w:val="0"/>
              <w:spacing w:before="0" w:after="283"/>
              <w:jc w:val="left"/>
              <w:rPr/>
            </w:pPr>
            <w:r>
              <w:rPr/>
              <w:t> </w:t>
            </w:r>
          </w:p>
        </w:tc>
        <w:tc>
          <w:tcPr>
            <w:tcW w:w="5127"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078"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4719"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December 31, 2025</w:t>
            </w:r>
          </w:p>
        </w:tc>
        <w:tc>
          <w:tcPr>
            <w:tcW w:w="65" w:type="dxa"/>
            <w:tcBorders/>
            <w:vAlign w:val="bottom"/>
          </w:tcPr>
          <w:p>
            <w:pPr>
              <w:pStyle w:val="TableContents"/>
              <w:bidi w:val="0"/>
              <w:spacing w:before="0" w:after="283"/>
              <w:jc w:val="left"/>
              <w:rPr/>
            </w:pPr>
            <w:r>
              <w:rPr/>
              <w:t> </w:t>
            </w:r>
          </w:p>
        </w:tc>
      </w:tr>
      <w:tr>
        <w:trPr/>
        <w:tc>
          <w:tcPr>
            <w:tcW w:w="5078"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4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7"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71" w:type="dxa"/>
            <w:tcBorders>
              <w:bottom w:val="single" w:sz="2" w:space="0" w:color="000000"/>
            </w:tcBorders>
            <w:tcMar>
              <w:bottom w:w="28" w:type="dxa"/>
            </w:tcMar>
            <w:vAlign w:val="bottom"/>
          </w:tcPr>
          <w:p>
            <w:pPr>
              <w:pStyle w:val="TableContents"/>
              <w:bidi w:val="0"/>
              <w:spacing w:before="0" w:after="283"/>
              <w:jc w:val="left"/>
              <w:rPr/>
            </w:pPr>
            <w:r>
              <w:rPr/>
              <w:t> </w:t>
            </w:r>
          </w:p>
        </w:tc>
        <w:tc>
          <w:tcPr>
            <w:tcW w:w="13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forma(1)</w:t>
            </w:r>
          </w:p>
        </w:tc>
        <w:tc>
          <w:tcPr>
            <w:tcW w:w="171" w:type="dxa"/>
            <w:tcBorders>
              <w:bottom w:val="single" w:sz="2" w:space="0" w:color="000000"/>
            </w:tcBorders>
            <w:tcMar>
              <w:bottom w:w="28" w:type="dxa"/>
            </w:tcMar>
            <w:vAlign w:val="bottom"/>
          </w:tcPr>
          <w:p>
            <w:pPr>
              <w:pStyle w:val="TableContents"/>
              <w:bidi w:val="0"/>
              <w:spacing w:before="0" w:after="283"/>
              <w:jc w:val="left"/>
              <w:rPr/>
            </w:pPr>
            <w:r>
              <w:rPr/>
              <w:t> </w:t>
            </w:r>
          </w:p>
        </w:tc>
        <w:tc>
          <w:tcPr>
            <w:tcW w:w="407" w:type="dxa"/>
            <w:tcBorders>
              <w:bottom w:val="single" w:sz="2" w:space="0" w:color="000000"/>
            </w:tcBorders>
            <w:tcMar>
              <w:bottom w:w="28" w:type="dxa"/>
            </w:tcMar>
            <w:vAlign w:val="bottom"/>
          </w:tcPr>
          <w:p>
            <w:pPr>
              <w:pStyle w:val="TableContents"/>
              <w:bidi w:val="0"/>
              <w:spacing w:before="0" w:after="283"/>
              <w:jc w:val="left"/>
              <w:rPr/>
            </w:pPr>
            <w:r>
              <w:rPr/>
              <w:t>  </w:t>
            </w:r>
          </w:p>
        </w:tc>
        <w:tc>
          <w:tcPr>
            <w:tcW w:w="13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 as</w:t>
              <w:br/>
              <w:t>adjusted(2)</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078"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4719" w:type="dxa"/>
            <w:gridSpan w:val="10"/>
            <w:tcBorders/>
            <w:vAlign w:val="bottom"/>
          </w:tcPr>
          <w:p>
            <w:pPr>
              <w:pStyle w:val="TableContents"/>
              <w:bidi w:val="0"/>
              <w:spacing w:before="0" w:after="283"/>
              <w:jc w:val="right"/>
              <w:rPr>
                <w:b/>
              </w:rPr>
            </w:pPr>
            <w:r>
              <w:rPr>
                <w:b/>
              </w:rPr>
              <w:t>(unaudited)</w:t>
            </w:r>
          </w:p>
        </w:tc>
        <w:tc>
          <w:tcPr>
            <w:tcW w:w="65" w:type="dxa"/>
            <w:tcBorders/>
            <w:vAlign w:val="bottom"/>
          </w:tcPr>
          <w:p>
            <w:pPr>
              <w:pStyle w:val="TableContents"/>
              <w:bidi w:val="0"/>
              <w:spacing w:before="0" w:after="283"/>
              <w:jc w:val="left"/>
              <w:rPr/>
            </w:pPr>
            <w:r>
              <w:rPr/>
              <w:t> </w:t>
            </w:r>
          </w:p>
        </w:tc>
      </w:tr>
      <w:tr>
        <w:trPr>
          <w:trHeight w:val="75" w:hRule="atLeast"/>
        </w:trPr>
        <w:tc>
          <w:tcPr>
            <w:tcW w:w="5078"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741" w:type="dxa"/>
            <w:gridSpan w:val="4"/>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r>
      <w:tr>
        <w:trPr/>
        <w:tc>
          <w:tcPr>
            <w:tcW w:w="5078" w:type="dxa"/>
            <w:tcBorders/>
            <w:shd w:fill="CCEEFF" w:val="clear"/>
          </w:tcPr>
          <w:p>
            <w:pPr>
              <w:pStyle w:val="TableContents"/>
              <w:bidi w:val="0"/>
              <w:spacing w:before="0" w:after="0"/>
              <w:jc w:val="left"/>
              <w:rPr>
                <w:rFonts w:ascii="arial" w:hAnsi="arial"/>
                <w:b/>
                <w:sz w:val="20"/>
              </w:rPr>
            </w:pPr>
            <w:r>
              <w:rPr>
                <w:rFonts w:ascii="arial" w:hAnsi="arial"/>
                <w:b/>
                <w:sz w:val="20"/>
              </w:rPr>
              <w:t>Consolidated balance sheet data:</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78" w:type="dxa"/>
            <w:tcBorders/>
          </w:tcPr>
          <w:p>
            <w:pPr>
              <w:pStyle w:val="TableContents"/>
              <w:bidi w:val="0"/>
              <w:spacing w:before="0" w:after="0"/>
              <w:jc w:val="left"/>
              <w:rPr>
                <w:rFonts w:ascii="arial" w:hAnsi="arial"/>
                <w:sz w:val="20"/>
              </w:rPr>
            </w:pPr>
            <w:r>
              <w:rPr>
                <w:rFonts w:ascii="arial" w:hAnsi="arial"/>
                <w:sz w:val="20"/>
              </w:rPr>
              <w:t>Cash and cash equivalents</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7" w:type="dxa"/>
            <w:tcBorders/>
            <w:vAlign w:val="bottom"/>
          </w:tcPr>
          <w:p>
            <w:pPr>
              <w:pStyle w:val="TableContents"/>
              <w:bidi w:val="0"/>
              <w:spacing w:before="0" w:after="283"/>
              <w:jc w:val="right"/>
              <w:rPr/>
            </w:pPr>
            <w:r>
              <w:rPr/>
              <w:t>30,002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86,178</w:t>
            </w:r>
          </w:p>
        </w:tc>
        <w:tc>
          <w:tcPr>
            <w:tcW w:w="17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258,246</w:t>
            </w:r>
          </w:p>
        </w:tc>
        <w:tc>
          <w:tcPr>
            <w:tcW w:w="65" w:type="dxa"/>
            <w:tcBorders/>
            <w:vAlign w:val="bottom"/>
          </w:tcPr>
          <w:p>
            <w:pPr>
              <w:pStyle w:val="TableContents"/>
              <w:bidi w:val="0"/>
              <w:spacing w:before="0" w:after="283"/>
              <w:jc w:val="left"/>
              <w:rPr/>
            </w:pPr>
            <w:r>
              <w:rPr/>
              <w:t> </w:t>
            </w:r>
          </w:p>
        </w:tc>
      </w:tr>
      <w:tr>
        <w:trPr/>
        <w:tc>
          <w:tcPr>
            <w:tcW w:w="5078" w:type="dxa"/>
            <w:tcBorders/>
            <w:shd w:fill="CCEEFF" w:val="clear"/>
          </w:tcPr>
          <w:p>
            <w:pPr>
              <w:pStyle w:val="TableContents"/>
              <w:bidi w:val="0"/>
              <w:spacing w:before="0" w:after="0"/>
              <w:jc w:val="left"/>
              <w:rPr>
                <w:rFonts w:ascii="arial" w:hAnsi="arial"/>
                <w:sz w:val="20"/>
              </w:rPr>
            </w:pPr>
            <w:r>
              <w:rPr>
                <w:rFonts w:ascii="arial" w:hAnsi="arial"/>
                <w:sz w:val="20"/>
              </w:rPr>
              <w:t>Working capital(3)</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70,975</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127,114</w:t>
            </w:r>
          </w:p>
        </w:tc>
        <w:tc>
          <w:tcPr>
            <w:tcW w:w="171"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298,627</w:t>
            </w:r>
          </w:p>
        </w:tc>
        <w:tc>
          <w:tcPr>
            <w:tcW w:w="65" w:type="dxa"/>
            <w:tcBorders/>
            <w:shd w:fill="CCEEFF" w:val="clear"/>
            <w:vAlign w:val="bottom"/>
          </w:tcPr>
          <w:p>
            <w:pPr>
              <w:pStyle w:val="TableContents"/>
              <w:bidi w:val="0"/>
              <w:spacing w:before="0" w:after="283"/>
              <w:jc w:val="left"/>
              <w:rPr/>
            </w:pPr>
            <w:r>
              <w:rPr/>
              <w:t> </w:t>
            </w:r>
          </w:p>
        </w:tc>
      </w:tr>
      <w:tr>
        <w:trPr/>
        <w:tc>
          <w:tcPr>
            <w:tcW w:w="5078" w:type="dxa"/>
            <w:tcBorders/>
          </w:tcPr>
          <w:p>
            <w:pPr>
              <w:pStyle w:val="TableContents"/>
              <w:bidi w:val="0"/>
              <w:spacing w:before="0" w:after="0"/>
              <w:jc w:val="left"/>
              <w:rPr>
                <w:rFonts w:ascii="arial" w:hAnsi="arial"/>
                <w:sz w:val="20"/>
              </w:rPr>
            </w:pPr>
            <w:r>
              <w:rPr>
                <w:rFonts w:ascii="arial" w:hAnsi="arial"/>
                <w:sz w:val="20"/>
              </w:rPr>
              <w:t>Total assets</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139,992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195,985</w:t>
            </w:r>
          </w:p>
        </w:tc>
        <w:tc>
          <w:tcPr>
            <w:tcW w:w="17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366,764</w:t>
            </w:r>
          </w:p>
        </w:tc>
        <w:tc>
          <w:tcPr>
            <w:tcW w:w="65" w:type="dxa"/>
            <w:tcBorders/>
            <w:vAlign w:val="bottom"/>
          </w:tcPr>
          <w:p>
            <w:pPr>
              <w:pStyle w:val="TableContents"/>
              <w:bidi w:val="0"/>
              <w:spacing w:before="0" w:after="283"/>
              <w:jc w:val="left"/>
              <w:rPr/>
            </w:pPr>
            <w:r>
              <w:rPr/>
              <w:t> </w:t>
            </w:r>
          </w:p>
        </w:tc>
      </w:tr>
      <w:tr>
        <w:trPr/>
        <w:tc>
          <w:tcPr>
            <w:tcW w:w="5078" w:type="dxa"/>
            <w:tcBorders/>
            <w:shd w:fill="CCEEFF" w:val="clear"/>
          </w:tcPr>
          <w:p>
            <w:pPr>
              <w:pStyle w:val="TableContents"/>
              <w:bidi w:val="0"/>
              <w:spacing w:before="0" w:after="0"/>
              <w:jc w:val="left"/>
              <w:rPr>
                <w:rFonts w:ascii="arial" w:hAnsi="arial"/>
                <w:sz w:val="20"/>
              </w:rPr>
            </w:pPr>
            <w:r>
              <w:rPr>
                <w:rFonts w:ascii="arial" w:hAnsi="arial"/>
                <w:sz w:val="20"/>
              </w:rPr>
              <w:t>Debt, net of current portion</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9,810</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9,810</w:t>
            </w:r>
          </w:p>
        </w:tc>
        <w:tc>
          <w:tcPr>
            <w:tcW w:w="171"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9,810</w:t>
            </w:r>
          </w:p>
        </w:tc>
        <w:tc>
          <w:tcPr>
            <w:tcW w:w="65" w:type="dxa"/>
            <w:tcBorders/>
            <w:shd w:fill="CCEEFF" w:val="clear"/>
            <w:vAlign w:val="bottom"/>
          </w:tcPr>
          <w:p>
            <w:pPr>
              <w:pStyle w:val="TableContents"/>
              <w:bidi w:val="0"/>
              <w:spacing w:before="0" w:after="283"/>
              <w:jc w:val="left"/>
              <w:rPr/>
            </w:pPr>
            <w:r>
              <w:rPr/>
              <w:t> </w:t>
            </w:r>
          </w:p>
        </w:tc>
      </w:tr>
      <w:tr>
        <w:trPr/>
        <w:tc>
          <w:tcPr>
            <w:tcW w:w="5078" w:type="dxa"/>
            <w:tcBorders/>
          </w:tcPr>
          <w:p>
            <w:pPr>
              <w:pStyle w:val="TableContents"/>
              <w:bidi w:val="0"/>
              <w:spacing w:before="0" w:after="0"/>
              <w:jc w:val="left"/>
              <w:rPr>
                <w:rFonts w:ascii="arial" w:hAnsi="arial"/>
                <w:sz w:val="20"/>
              </w:rPr>
            </w:pPr>
            <w:r>
              <w:rPr>
                <w:rFonts w:ascii="arial" w:hAnsi="arial"/>
                <w:sz w:val="20"/>
              </w:rPr>
              <w:t>Total liabilities</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63,950</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63,557</w:t>
            </w:r>
          </w:p>
        </w:tc>
        <w:tc>
          <w:tcPr>
            <w:tcW w:w="17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62,823</w:t>
            </w:r>
          </w:p>
        </w:tc>
        <w:tc>
          <w:tcPr>
            <w:tcW w:w="65" w:type="dxa"/>
            <w:tcBorders/>
            <w:vAlign w:val="bottom"/>
          </w:tcPr>
          <w:p>
            <w:pPr>
              <w:pStyle w:val="TableContents"/>
              <w:bidi w:val="0"/>
              <w:spacing w:before="0" w:after="283"/>
              <w:jc w:val="left"/>
              <w:rPr/>
            </w:pPr>
            <w:r>
              <w:rPr/>
              <w:t> </w:t>
            </w:r>
          </w:p>
        </w:tc>
      </w:tr>
      <w:tr>
        <w:trPr/>
        <w:tc>
          <w:tcPr>
            <w:tcW w:w="5078"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234,996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w:t>
            </w:r>
          </w:p>
        </w:tc>
        <w:tc>
          <w:tcPr>
            <w:tcW w:w="171"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078" w:type="dxa"/>
            <w:tcBorders>
              <w:bottom w:val="single" w:sz="2" w:space="0" w:color="000000"/>
            </w:tcBorders>
            <w:tcMar>
              <w:bottom w:w="40" w:type="dxa"/>
            </w:tcMar>
          </w:tcPr>
          <w:p>
            <w:pPr>
              <w:pStyle w:val="TableContents"/>
              <w:bidi w:val="0"/>
              <w:spacing w:before="0" w:after="0"/>
              <w:jc w:val="left"/>
              <w:rPr>
                <w:rFonts w:ascii="arial" w:hAnsi="arial"/>
                <w:sz w:val="20"/>
              </w:rPr>
            </w:pPr>
            <w:r>
              <w:rPr>
                <w:rFonts w:ascii="arial" w:hAnsi="arial"/>
                <w:sz w:val="20"/>
              </w:rPr>
              <w:t>Total stockholders’ (deficit) equity(4)</w:t>
            </w:r>
          </w:p>
        </w:tc>
        <w:tc>
          <w:tcPr>
            <w:tcW w:w="343"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40" w:type="dxa"/>
            </w:tcMar>
            <w:vAlign w:val="bottom"/>
          </w:tcPr>
          <w:p>
            <w:pPr>
              <w:pStyle w:val="TableContents"/>
              <w:bidi w:val="0"/>
              <w:spacing w:before="0" w:after="283"/>
              <w:jc w:val="left"/>
              <w:rPr/>
            </w:pPr>
            <w:r>
              <w:rPr/>
              <w:t> </w:t>
            </w:r>
          </w:p>
        </w:tc>
        <w:tc>
          <w:tcPr>
            <w:tcW w:w="877" w:type="dxa"/>
            <w:tcBorders>
              <w:bottom w:val="single" w:sz="2" w:space="0" w:color="000000"/>
            </w:tcBorders>
            <w:tcMar>
              <w:bottom w:w="40" w:type="dxa"/>
            </w:tcMar>
            <w:vAlign w:val="bottom"/>
          </w:tcPr>
          <w:p>
            <w:pPr>
              <w:pStyle w:val="TableContents"/>
              <w:bidi w:val="0"/>
              <w:spacing w:before="0" w:after="283"/>
              <w:jc w:val="right"/>
              <w:rPr/>
            </w:pPr>
            <w:r>
              <w:rPr/>
              <w:t>(158,954</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171" w:type="dxa"/>
            <w:tcBorders>
              <w:bottom w:val="single" w:sz="2" w:space="0" w:color="000000"/>
            </w:tcBorders>
            <w:tcMar>
              <w:bottom w:w="28" w:type="dxa"/>
            </w:tcMar>
            <w:vAlign w:val="bottom"/>
          </w:tcPr>
          <w:p>
            <w:pPr>
              <w:pStyle w:val="TableContents"/>
              <w:bidi w:val="0"/>
              <w:spacing w:before="0" w:after="283"/>
              <w:jc w:val="left"/>
              <w:rPr/>
            </w:pPr>
            <w:r>
              <w:rPr/>
              <w:t> </w:t>
            </w:r>
          </w:p>
        </w:tc>
        <w:tc>
          <w:tcPr>
            <w:tcW w:w="205" w:type="dxa"/>
            <w:tcBorders>
              <w:bottom w:val="single" w:sz="2" w:space="0" w:color="000000"/>
            </w:tcBorders>
            <w:tcMar>
              <w:bottom w:w="40" w:type="dxa"/>
            </w:tcMar>
            <w:vAlign w:val="bottom"/>
          </w:tcPr>
          <w:p>
            <w:pPr>
              <w:pStyle w:val="TableContents"/>
              <w:bidi w:val="0"/>
              <w:spacing w:before="0" w:after="283"/>
              <w:jc w:val="left"/>
              <w:rPr/>
            </w:pPr>
            <w:r>
              <w:rPr/>
              <w:t> </w:t>
            </w:r>
          </w:p>
        </w:tc>
        <w:tc>
          <w:tcPr>
            <w:tcW w:w="1194" w:type="dxa"/>
            <w:tcBorders>
              <w:bottom w:val="single" w:sz="2" w:space="0" w:color="000000"/>
            </w:tcBorders>
            <w:tcMar>
              <w:bottom w:w="40" w:type="dxa"/>
            </w:tcMar>
            <w:vAlign w:val="bottom"/>
          </w:tcPr>
          <w:p>
            <w:pPr>
              <w:pStyle w:val="TableContents"/>
              <w:bidi w:val="0"/>
              <w:spacing w:before="0" w:after="283"/>
              <w:jc w:val="right"/>
              <w:rPr/>
            </w:pPr>
            <w:r>
              <w:rPr/>
              <w:t>132,428</w:t>
            </w:r>
          </w:p>
        </w:tc>
        <w:tc>
          <w:tcPr>
            <w:tcW w:w="171" w:type="dxa"/>
            <w:tcBorders>
              <w:bottom w:val="single" w:sz="2" w:space="0" w:color="000000"/>
            </w:tcBorders>
            <w:tcMar>
              <w:bottom w:w="40" w:type="dxa"/>
            </w:tcMar>
            <w:vAlign w:val="bottom"/>
          </w:tcPr>
          <w:p>
            <w:pPr>
              <w:pStyle w:val="TableContents"/>
              <w:bidi w:val="0"/>
              <w:spacing w:before="0" w:after="283"/>
              <w:jc w:val="left"/>
              <w:rPr/>
            </w:pPr>
            <w:r>
              <w:rPr/>
              <w:t> </w:t>
            </w:r>
          </w:p>
        </w:tc>
        <w:tc>
          <w:tcPr>
            <w:tcW w:w="407" w:type="dxa"/>
            <w:tcBorders>
              <w:bottom w:val="single" w:sz="2" w:space="0" w:color="000000"/>
            </w:tcBorders>
            <w:tcMar>
              <w:bottom w:w="28" w:type="dxa"/>
            </w:tcMar>
            <w:vAlign w:val="bottom"/>
          </w:tcPr>
          <w:p>
            <w:pPr>
              <w:pStyle w:val="TableContents"/>
              <w:bidi w:val="0"/>
              <w:spacing w:before="0" w:after="283"/>
              <w:jc w:val="left"/>
              <w:rPr/>
            </w:pPr>
            <w:r>
              <w:rPr/>
              <w:t>  </w:t>
            </w:r>
          </w:p>
        </w:tc>
        <w:tc>
          <w:tcPr>
            <w:tcW w:w="205" w:type="dxa"/>
            <w:tcBorders>
              <w:bottom w:val="single" w:sz="2" w:space="0" w:color="000000"/>
            </w:tcBorders>
            <w:tcMar>
              <w:bottom w:w="40" w:type="dxa"/>
            </w:tcMar>
            <w:vAlign w:val="bottom"/>
          </w:tcPr>
          <w:p>
            <w:pPr>
              <w:pStyle w:val="TableContents"/>
              <w:bidi w:val="0"/>
              <w:spacing w:before="0" w:after="283"/>
              <w:jc w:val="left"/>
              <w:rPr/>
            </w:pPr>
            <w:r>
              <w:rPr/>
              <w:t> </w:t>
            </w:r>
          </w:p>
        </w:tc>
        <w:tc>
          <w:tcPr>
            <w:tcW w:w="1194" w:type="dxa"/>
            <w:tcBorders>
              <w:bottom w:val="single" w:sz="2" w:space="0" w:color="000000"/>
            </w:tcBorders>
            <w:tcMar>
              <w:bottom w:w="40" w:type="dxa"/>
            </w:tcMar>
            <w:vAlign w:val="bottom"/>
          </w:tcPr>
          <w:p>
            <w:pPr>
              <w:pStyle w:val="TableContents"/>
              <w:bidi w:val="0"/>
              <w:spacing w:before="0" w:after="283"/>
              <w:jc w:val="right"/>
              <w:rPr/>
            </w:pPr>
            <w:r>
              <w:rPr/>
              <w:t>303,941</w:t>
            </w:r>
          </w:p>
        </w:tc>
        <w:tc>
          <w:tcPr>
            <w:tcW w:w="65" w:type="dxa"/>
            <w:tcBorders>
              <w:bottom w:val="single" w:sz="2" w:space="0" w:color="000000"/>
            </w:tcBorders>
            <w:tcMar>
              <w:bottom w:w="40" w:type="dxa"/>
            </w:tcMar>
            <w:vAlign w:val="bottom"/>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(1)</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The pro forma column in the consolidated balance sheet data gives effect to (i) the issuance of the Convertible Notes in January 2026 for aggregate net proceeds of approximately $56.2 million, (ii) the Preferred Stock Conversion, the Founders Preferred Stock Conversion (and the related reclassification of the carrying value of our convertible preferred stock to permanent equity in connection with the closing of this offering), the Class A Conversion, the Common Stock Redesignation and the Convertible Notes Conversion, as if each had occurred as of December 31, 2025, (iii) the Series C Warrant Conversion (and the related reclassification of the warrant liability to stockholders’ equity), and (iv) the filing and effectiveness of our amended and restated certificate of incorporation, each of which will occur immediately prior to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The pro forma as adjusted column in the consolidated balance sheet data gives effect to (i) the pro forma adjustments set forth in footnote (1) above and (ii) our sale of 11,250,000 shares of common stock in this offering at the initial public offering price of $17.00 per share,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24"/>
        <w:gridCol w:w="106"/>
        <w:gridCol w:w="9875"/>
      </w:tblGrid>
      <w:tr>
        <w:trPr/>
        <w:tc>
          <w:tcPr>
            <w:tcW w:w="224"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Working capital is calculated as current assets less current liabilities. See our consolidated financial statements and related notes included elsewhere in this prospectus for further details regarding our current assets and current liabilities.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(4)</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The Convertible Notes are accounted for under the fair value option and issuance costs were expensed upon closing. The Convertible Notes will be remeasured to fair value prior to the Convertible Notes Conversion. The pro forma presentation excludes any loss from remeasurement of the Convertible Notes to fair value.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Key business metrics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regularly review a number of operating and financial metrics, including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may change or may be substituted for additional or different metrics as our business evolves and as we introduce new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20"/>
          <w:bdr w:val="single" w:sz="2" w:space="1" w:color="000000"/>
        </w:rPr>
      </w:pPr>
      <w:r>
        <w:rPr>
          <w:rFonts w:ascii="arial" w:hAnsi="arial"/>
          <w:b/>
          <w:i/>
          <w:sz w:val="20"/>
          <w:bdr w:val="single" w:sz="2" w:space="1" w:color="000000"/>
        </w:rPr>
        <w:t xml:space="preserve">Instrument installed base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7295"/>
        <w:gridCol w:w="489"/>
        <w:gridCol w:w="123"/>
        <w:gridCol w:w="545"/>
        <w:gridCol w:w="123"/>
        <w:gridCol w:w="600"/>
        <w:gridCol w:w="123"/>
        <w:gridCol w:w="843"/>
        <w:gridCol w:w="64"/>
      </w:tblGrid>
      <w:tr>
        <w:trPr/>
        <w:tc>
          <w:tcPr>
            <w:tcW w:w="7295"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295" w:type="dxa"/>
            <w:tcBorders>
              <w:top w:val="single" w:sz="16" w:space="0" w:color="000000"/>
            </w:tcBorders>
            <w:tcMar>
              <w:top w:w="28" w:type="dxa"/>
            </w:tcMar>
            <w:vAlign w:val="center"/>
          </w:tcPr>
          <w:p>
            <w:pPr>
              <w:pStyle w:val="TableContents"/>
              <w:bidi w:val="0"/>
              <w:spacing w:before="0" w:after="283"/>
              <w:jc w:val="left"/>
              <w:rPr/>
            </w:pPr>
            <w:r>
              <w:rPr/>
              <w:t> </w:t>
            </w:r>
          </w:p>
        </w:tc>
        <w:tc>
          <w:tcPr>
            <w:tcW w:w="291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357"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295" w:type="dxa"/>
            <w:tcBorders>
              <w:bottom w:val="single" w:sz="2" w:space="0" w:color="000000"/>
            </w:tcBorders>
            <w:tcMar>
              <w:bottom w:w="28" w:type="dxa"/>
            </w:tcMar>
            <w:vAlign w:val="bottom"/>
          </w:tcPr>
          <w:p>
            <w:pPr>
              <w:pStyle w:val="TableContents"/>
              <w:bidi w:val="0"/>
              <w:spacing w:before="0" w:after="283"/>
              <w:jc w:val="left"/>
              <w:rPr/>
            </w:pPr>
            <w:r>
              <w:rPr/>
              <w:t>  </w:t>
            </w:r>
          </w:p>
        </w:tc>
        <w:tc>
          <w:tcPr>
            <w:tcW w:w="489" w:type="dxa"/>
            <w:tcBorders>
              <w:bottom w:val="single" w:sz="2" w:space="0" w:color="000000"/>
            </w:tcBorders>
            <w:tcMar>
              <w:bottom w:w="28" w:type="dxa"/>
            </w:tcMar>
            <w:vAlign w:val="bottom"/>
          </w:tcPr>
          <w:p>
            <w:pPr>
              <w:pStyle w:val="TableContents"/>
              <w:bidi w:val="0"/>
              <w:spacing w:before="0" w:after="283"/>
              <w:jc w:val="left"/>
              <w:rPr/>
            </w:pPr>
            <w:r>
              <w:rPr/>
              <w:t>  </w:t>
            </w:r>
          </w:p>
        </w:tc>
        <w:tc>
          <w:tcPr>
            <w:tcW w:w="66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0" w:type="dxa"/>
            <w:tcBorders>
              <w:bottom w:val="single" w:sz="2" w:space="0" w:color="000000"/>
            </w:tcBorders>
            <w:tcMar>
              <w:bottom w:w="28" w:type="dxa"/>
            </w:tcMar>
            <w:vAlign w:val="bottom"/>
          </w:tcPr>
          <w:p>
            <w:pPr>
              <w:pStyle w:val="TableContents"/>
              <w:bidi w:val="0"/>
              <w:spacing w:before="0" w:after="283"/>
              <w:jc w:val="left"/>
              <w:rPr/>
            </w:pPr>
            <w:r>
              <w:rPr/>
              <w:t>  </w:t>
            </w:r>
          </w:p>
        </w:tc>
        <w:tc>
          <w:tcPr>
            <w:tcW w:w="9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295" w:type="dxa"/>
            <w:tcBorders>
              <w:bottom w:val="single" w:sz="2" w:space="0" w:color="000000"/>
            </w:tcBorders>
            <w:shd w:fill="CCEEFF" w:val="clear"/>
            <w:tcMar>
              <w:bottom w:w="80" w:type="dxa"/>
            </w:tcMar>
          </w:tcPr>
          <w:p>
            <w:pPr>
              <w:pStyle w:val="TableContents"/>
              <w:bidi w:val="0"/>
              <w:spacing w:before="0" w:after="0"/>
              <w:jc w:val="left"/>
              <w:rPr>
                <w:rFonts w:ascii="arial" w:hAnsi="arial"/>
                <w:sz w:val="20"/>
              </w:rPr>
            </w:pPr>
            <w:r>
              <w:rPr>
                <w:rFonts w:ascii="arial" w:hAnsi="arial"/>
                <w:sz w:val="20"/>
              </w:rPr>
              <w:t>Instrument installed base</w:t>
            </w:r>
          </w:p>
        </w:tc>
        <w:tc>
          <w:tcPr>
            <w:tcW w:w="48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545" w:type="dxa"/>
            <w:tcBorders>
              <w:bottom w:val="single" w:sz="2" w:space="0" w:color="000000"/>
            </w:tcBorders>
            <w:shd w:fill="CCEEFF" w:val="clear"/>
            <w:tcMar>
              <w:bottom w:w="80" w:type="dxa"/>
            </w:tcMar>
            <w:vAlign w:val="bottom"/>
          </w:tcPr>
          <w:p>
            <w:pPr>
              <w:pStyle w:val="TableContents"/>
              <w:bidi w:val="0"/>
              <w:spacing w:before="0" w:after="283"/>
              <w:jc w:val="right"/>
              <w:rPr/>
            </w:pPr>
            <w:r>
              <w:rPr/>
              <w:t>36</w:t>
            </w:r>
          </w:p>
        </w:tc>
        <w:tc>
          <w:tcPr>
            <w:tcW w:w="12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6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843" w:type="dxa"/>
            <w:tcBorders>
              <w:bottom w:val="single" w:sz="2" w:space="0" w:color="000000"/>
            </w:tcBorders>
            <w:shd w:fill="CCEEFF" w:val="clear"/>
            <w:tcMar>
              <w:bottom w:w="80" w:type="dxa"/>
            </w:tcMar>
            <w:vAlign w:val="bottom"/>
          </w:tcPr>
          <w:p>
            <w:pPr>
              <w:pStyle w:val="TableContents"/>
              <w:bidi w:val="0"/>
              <w:spacing w:before="0" w:after="283"/>
              <w:jc w:val="right"/>
              <w:rPr/>
            </w:pPr>
            <w:r>
              <w:rPr/>
              <w:t>102</w:t>
            </w:r>
          </w:p>
        </w:tc>
        <w:tc>
          <w:tcPr>
            <w:tcW w:w="64"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products are used by leading research and academic institutions, biopharmaceutical companies, contract research organizations and service labs around the globe. We believe the instrument installed base is one of the indicators of our ability to drive customer adoption of our products.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define the instrument installed base as the cumulative number of ARGO instruments placed with customers since inception, whether they are being sold, or to a much smaller extent, leased or loaned to the customers.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Consumable pull-through per instrument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6491"/>
        <w:gridCol w:w="590"/>
        <w:gridCol w:w="298"/>
        <w:gridCol w:w="816"/>
        <w:gridCol w:w="127"/>
        <w:gridCol w:w="703"/>
        <w:gridCol w:w="298"/>
        <w:gridCol w:w="819"/>
        <w:gridCol w:w="63"/>
      </w:tblGrid>
      <w:tr>
        <w:trPr/>
        <w:tc>
          <w:tcPr>
            <w:tcW w:w="6491"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91" w:type="dxa"/>
            <w:tcBorders>
              <w:top w:val="single" w:sz="16" w:space="0" w:color="000000"/>
            </w:tcBorders>
            <w:tcMar>
              <w:top w:w="28" w:type="dxa"/>
            </w:tcMar>
            <w:vAlign w:val="center"/>
          </w:tcPr>
          <w:p>
            <w:pPr>
              <w:pStyle w:val="TableContents"/>
              <w:bidi w:val="0"/>
              <w:spacing w:before="0" w:after="283"/>
              <w:jc w:val="left"/>
              <w:rPr/>
            </w:pPr>
            <w:r>
              <w:rPr/>
              <w:t> </w:t>
            </w:r>
          </w:p>
        </w:tc>
        <w:tc>
          <w:tcPr>
            <w:tcW w:w="371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306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91"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5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7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1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91" w:type="dxa"/>
            <w:tcBorders>
              <w:bottom w:val="single" w:sz="2" w:space="0" w:color="000000"/>
            </w:tcBorders>
            <w:shd w:fill="CCEEFF" w:val="clear"/>
            <w:tcMar>
              <w:bottom w:w="80" w:type="dxa"/>
            </w:tcMar>
          </w:tcPr>
          <w:p>
            <w:pPr>
              <w:pStyle w:val="TableContents"/>
              <w:bidi w:val="0"/>
              <w:spacing w:before="0" w:after="0"/>
              <w:jc w:val="left"/>
              <w:rPr>
                <w:rFonts w:ascii="arial" w:hAnsi="arial"/>
                <w:sz w:val="20"/>
              </w:rPr>
            </w:pPr>
            <w:r>
              <w:rPr>
                <w:rFonts w:ascii="arial" w:hAnsi="arial"/>
                <w:sz w:val="20"/>
              </w:rPr>
              <w:t>Average annual consumable pull-through per instrument</w:t>
            </w:r>
          </w:p>
        </w:tc>
        <w:tc>
          <w:tcPr>
            <w:tcW w:w="59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816" w:type="dxa"/>
            <w:tcBorders>
              <w:bottom w:val="single" w:sz="2" w:space="0" w:color="000000"/>
            </w:tcBorders>
            <w:shd w:fill="CCEEFF" w:val="clear"/>
            <w:tcMar>
              <w:bottom w:w="80" w:type="dxa"/>
            </w:tcMar>
            <w:vAlign w:val="bottom"/>
          </w:tcPr>
          <w:p>
            <w:pPr>
              <w:pStyle w:val="TableContents"/>
              <w:bidi w:val="0"/>
              <w:spacing w:before="0" w:after="283"/>
              <w:jc w:val="right"/>
              <w:rPr/>
            </w:pPr>
            <w:r>
              <w:rPr/>
              <w:t>357</w:t>
            </w:r>
          </w:p>
        </w:tc>
        <w:tc>
          <w:tcPr>
            <w:tcW w:w="127"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70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819" w:type="dxa"/>
            <w:tcBorders>
              <w:bottom w:val="single" w:sz="2" w:space="0" w:color="000000"/>
            </w:tcBorders>
            <w:shd w:fill="CCEEFF" w:val="clear"/>
            <w:tcMar>
              <w:bottom w:w="80" w:type="dxa"/>
            </w:tcMar>
            <w:vAlign w:val="bottom"/>
          </w:tcPr>
          <w:p>
            <w:pPr>
              <w:pStyle w:val="TableContents"/>
              <w:bidi w:val="0"/>
              <w:spacing w:before="0" w:after="283"/>
              <w:jc w:val="right"/>
              <w:rPr/>
            </w:pPr>
            <w:r>
              <w:rPr/>
              <w:t>529</w:t>
            </w:r>
          </w:p>
        </w:tc>
        <w:tc>
          <w:tcPr>
            <w:tcW w:w="6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consumables are comprised of reagent kits and other single-use or limited-use materials for running assays or operating instruments. Our ARGO instruments and associated consumables are designed to work together exclusively, and we generate recurring revenue from each instrument we place. We believe that average consumable pull-through per instrument is an indicator of our ability to generate future consumable revenue.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define average annual consumable pull-through per instrument as the total consumables revenue in the given period divided by the average instrument installed base during that period. We calculate the average instrument installed base for a given period using the instrument installed base as of the last day of the prior period and the instrument installed base as of the last day of the given period. We also calculate a year-to-date and average annual consumable pull-through per instrument metric by summing the quarterly pull-through for the quarters in a given year.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additional information about our key business metrics, see the section titled “Management’s discussion and analysis of financial condition and results of operations—Key business metrics.”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Riskfactors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7" w:name="toc39680_2"/>
      <w:bookmarkEnd w:id="7"/>
      <w:r>
        <w:rPr>
          <w:rFonts w:ascii="arial" w:hAnsi="arial"/>
          <w:b/>
          <w:sz w:val="32"/>
        </w:rPr>
        <w:t xml:space="preserve">Risk factors </w:t>
      </w:r>
    </w:p>
    <w:p>
      <w:pPr>
        <w:pStyle w:val="TextBody"/>
        <w:bidi w:val="0"/>
        <w:spacing w:before="160" w:after="0"/>
        <w:jc w:val="left"/>
        <w:rPr>
          <w:rFonts w:ascii="arial" w:hAnsi="arial"/>
          <w:i/>
          <w:sz w:val="20"/>
        </w:rPr>
      </w:pPr>
      <w:r>
        <w:rPr>
          <w:rFonts w:ascii="arial" w:hAnsi="arial"/>
          <w:i/>
          <w:sz w:val="20"/>
        </w:rPr>
        <w:t xml:space="preserve">Investing in our common stock involves a high degree of risk. You should carefully consider the risks described below, as well as all of the other information contained in this prospectus, including our consolidated financial statements and related notes, before investing in our common stock. While we believe that the risks and uncertainties described below are the material risks currently facing us, additional risks that we do not yet know of or that we currently think are immaterial may also arise and materially affect our business, financial condition, results of operations and prospects. If any of the following risks materialize, our business, financial condition, results of operations and prospects could be materially and adversely affected. In that case, the trading price of our common stock could decline, and you may lose some or all of your investment. </w:t>
      </w:r>
    </w:p>
    <w:p>
      <w:pPr>
        <w:pStyle w:val="TextBody"/>
        <w:bidi w:val="0"/>
        <w:spacing w:before="320" w:after="0"/>
        <w:jc w:val="left"/>
        <w:rPr>
          <w:rFonts w:ascii="arial" w:hAnsi="arial"/>
          <w:b/>
          <w:sz w:val="24"/>
        </w:rPr>
      </w:pPr>
      <w:r>
        <w:rPr>
          <w:rFonts w:ascii="arial" w:hAnsi="arial"/>
          <w:b/>
          <w:sz w:val="24"/>
        </w:rPr>
        <w:t xml:space="preserve">Risks related to our business and industry </w:t>
      </w:r>
    </w:p>
    <w:p>
      <w:pPr>
        <w:pStyle w:val="TextBody"/>
        <w:bidi w:val="0"/>
        <w:spacing w:before="160" w:after="0"/>
        <w:jc w:val="left"/>
        <w:rPr>
          <w:rFonts w:ascii="arial" w:hAnsi="arial"/>
          <w:b/>
          <w:i/>
          <w:sz w:val="20"/>
        </w:rPr>
      </w:pPr>
      <w:r>
        <w:rPr>
          <w:rFonts w:ascii="arial" w:hAnsi="arial"/>
          <w:b/>
          <w:i/>
          <w:sz w:val="20"/>
        </w:rPr>
        <w:t xml:space="preserve">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 </w:t>
      </w:r>
    </w:p>
    <w:p>
      <w:pPr>
        <w:pStyle w:val="TextBody"/>
        <w:bidi w:val="0"/>
        <w:spacing w:before="160" w:after="0"/>
        <w:jc w:val="left"/>
        <w:rPr>
          <w:rFonts w:ascii="arial" w:hAnsi="arial"/>
          <w:sz w:val="20"/>
        </w:rPr>
      </w:pPr>
      <w:r>
        <w:rPr>
          <w:rFonts w:ascii="arial" w:hAnsi="arial"/>
          <w:sz w:val="20"/>
        </w:rPr>
        <w:t xml:space="preserve">We have incurred losses since inception and expect to incur losses in the future. We incurred net losses of $47.1 million and $29.8 million for the years ended December 31, 2024 and 2025, respectively. As of December 31, 2025, we had an accumulated deficit of approximately $168.8 million. We expect that our losses will continue in the near term as we continue to invest significantly in research and development to enhance our NULISA technology, expand our NULISA assay menu and enhance our software offerings, expand our manufacturing capabilities, and build out our commercialization team and footprint. In addition, as a public company, we will incur significant legal, accounting and other expenses that we did not incur as a private company. These increased expenses will make it harder for us to sustain future profitability. </w:t>
      </w:r>
    </w:p>
    <w:p>
      <w:pPr>
        <w:pStyle w:val="TextBody"/>
        <w:bidi w:val="0"/>
        <w:spacing w:before="160" w:after="0"/>
        <w:jc w:val="left"/>
        <w:rPr>
          <w:rFonts w:ascii="arial" w:hAnsi="arial"/>
          <w:sz w:val="20"/>
        </w:rPr>
      </w:pPr>
      <w:r>
        <w:rPr>
          <w:rFonts w:ascii="arial" w:hAnsi="arial"/>
          <w:sz w:val="20"/>
        </w:rPr>
        <w:t xml:space="preserve">To date, we have financed our operations principally from the sale of convertible preferred stock, revenue from sales of our products and services and the incurrence of indebtedness. There can be no assurance that our revenue and gross profit will increase sufficiently such that our net losses decline, or that we attain cash flows from operating activities in excess of our capital investment requirements on a sustained basis or attain profitability, in the future. Further, our limited operating history makes it difficult to effectively plan for and model future revenue and operating expenses. Our ability to achieve or sustain profitability is based on numerous factors, many of which are beyond our control, including general economic, industry and market conditions, customer purchasing decisions, the impact of market acceptance of our products and services, future product development, our market penetration and margins and current and future litigation. Additionally, inflationary pressures could adversely impact our financial results. Our operating costs have increased and may continue to increase, due to the recent growth in inflation, which may be exacerbated by existing or proposed tariffs imposed by the United States. We may not fully offset these cost increases by raising prices for our products, which could result in downward pressure on our margins. Additionally, changes in our product mix may negatively affect our gross margins. We may never be able to generate sufficient revenue to achieve or sustain cash flows from operating activities in excess of our capital investment requirements or to achieve and sustain profitability, and our recent and historical growth should not be considered indicative of our future performance. Our failure to achieve or maintain growth, cash flows from operating activities in excess of our capital investment requirements or profitability could negatively impact the value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limited operating history makes it difficult to evaluate our future prospects and the risks and challenges we may encounter. </w:t>
      </w:r>
    </w:p>
    <w:p>
      <w:pPr>
        <w:pStyle w:val="TextBody"/>
        <w:bidi w:val="0"/>
        <w:spacing w:before="160" w:after="0"/>
        <w:jc w:val="left"/>
        <w:rPr>
          <w:rFonts w:ascii="arial" w:hAnsi="arial"/>
          <w:sz w:val="20"/>
        </w:rPr>
      </w:pPr>
      <w:r>
        <w:rPr>
          <w:rFonts w:ascii="arial" w:hAnsi="arial"/>
          <w:sz w:val="20"/>
        </w:rPr>
        <w:t xml:space="preserve">We were formed in 2018, launched commercially in January 2024 and have a limited operating history. Our limited commercial history makes it difficult to evaluate our current business and makes predictions about our future results, prospects or viability subject to significant uncertainty. Although we have experienced revenue growth in prior periods, there can be no guarantee that such revenue growth will continue at the same rate or at all. Our prospects must be considered in light of the uncertainties, risks, expenses and difficulties frequently encountered by companies in their early stages of operations. In addition, we operate in highly competitive markets, and our business has, and we expect it to continue to, evolve over time to remain competitive. Our limited operating history and evolving business make it difficult to evaluate our future prospects and the risks and challenges we may encounter and may increase the risk that we will not continue to grow at or near historical rates. </w:t>
      </w:r>
    </w:p>
    <w:p>
      <w:pPr>
        <w:pStyle w:val="TextBody"/>
        <w:bidi w:val="0"/>
        <w:spacing w:before="160" w:after="0"/>
        <w:jc w:val="left"/>
        <w:rPr>
          <w:rFonts w:ascii="arial" w:hAnsi="arial"/>
          <w:sz w:val="20"/>
        </w:rPr>
      </w:pPr>
      <w:r>
        <w:rPr>
          <w:rFonts w:ascii="arial" w:hAnsi="arial"/>
          <w:sz w:val="20"/>
        </w:rPr>
        <w:t xml:space="preserve">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 </w:t>
      </w:r>
    </w:p>
    <w:p>
      <w:pPr>
        <w:pStyle w:val="TextBody"/>
        <w:bidi w:val="0"/>
        <w:spacing w:before="160" w:after="0"/>
        <w:jc w:val="left"/>
        <w:rPr>
          <w:rFonts w:ascii="arial" w:hAnsi="arial"/>
          <w:b/>
          <w:i/>
          <w:sz w:val="20"/>
        </w:rPr>
      </w:pPr>
      <w:r>
        <w:rPr>
          <w:rFonts w:ascii="arial" w:hAnsi="arial"/>
          <w:b/>
          <w:i/>
          <w:sz w:val="20"/>
        </w:rPr>
        <w:t xml:space="preserve">The proteomics market is highly competitive. If we fail to compete effectively, our business, financial condition and results of operations will suffer. </w:t>
      </w:r>
    </w:p>
    <w:p>
      <w:pPr>
        <w:pStyle w:val="TextBody"/>
        <w:bidi w:val="0"/>
        <w:spacing w:before="160" w:after="0"/>
        <w:jc w:val="left"/>
        <w:rPr>
          <w:rFonts w:ascii="arial" w:hAnsi="arial"/>
          <w:sz w:val="20"/>
        </w:rPr>
      </w:pPr>
      <w:r>
        <w:rPr>
          <w:rFonts w:ascii="arial" w:hAnsi="arial"/>
          <w:sz w:val="20"/>
        </w:rPr>
        <w:t xml:space="preserve">The proteomics market is characterized by intense competition and rapid innovation. A number of companies, spanning both established organizations and emerging ventures, are engaged in the development, manufacturing and marketing of products for applications in proteomic analysis and protein detection from biofluids. </w:t>
      </w:r>
    </w:p>
    <w:p>
      <w:pPr>
        <w:pStyle w:val="TextBody"/>
        <w:bidi w:val="0"/>
        <w:spacing w:before="160" w:after="0"/>
        <w:jc w:val="left"/>
        <w:rPr>
          <w:rFonts w:ascii="arial" w:hAnsi="arial"/>
          <w:sz w:val="20"/>
        </w:rPr>
      </w:pPr>
      <w:r>
        <w:rPr>
          <w:rFonts w:ascii="arial" w:hAnsi="arial"/>
          <w:sz w:val="20"/>
        </w:rPr>
        <w:t xml:space="preserve">Our current primary competitors across translational research include Olink (Thermo Fisher) and Quanterix, among others offering high-sensitivity immunoassays, multiplex affinity-based assays and non-affinity mass spectrometry. In the future, we will also compete through our diagnostics enablement strategy in the clinical diagnostics space as we continue to expand into low-plex and custom assay formats and offer next-generation instruments to enable clinical applications. </w:t>
      </w:r>
    </w:p>
    <w:p>
      <w:pPr>
        <w:pStyle w:val="TextBody"/>
        <w:bidi w:val="0"/>
        <w:spacing w:before="160" w:after="0"/>
        <w:jc w:val="left"/>
        <w:rPr>
          <w:rFonts w:ascii="arial" w:hAnsi="arial"/>
          <w:sz w:val="20"/>
        </w:rPr>
      </w:pPr>
      <w:r>
        <w:rPr>
          <w:rFonts w:ascii="arial" w:hAnsi="arial"/>
          <w:sz w:val="20"/>
        </w:rPr>
        <w:t xml:space="preserve">Several of these competitors possess significantly greater resources than our organization (including larger research and development teams, and more extensive marketing, service, distribution and sales operations), and have more brand recognition, more significant intellectual property portfolios, and larger scale manufacturing capabilities. </w:t>
      </w:r>
    </w:p>
    <w:p>
      <w:pPr>
        <w:pStyle w:val="TextBody"/>
        <w:bidi w:val="0"/>
        <w:spacing w:before="160" w:after="0"/>
        <w:jc w:val="left"/>
        <w:rPr>
          <w:rFonts w:ascii="arial" w:hAnsi="arial"/>
          <w:sz w:val="20"/>
        </w:rPr>
      </w:pPr>
      <w:r>
        <w:rPr>
          <w:rFonts w:ascii="arial" w:hAnsi="arial"/>
          <w:sz w:val="20"/>
        </w:rPr>
        <w:t xml:space="preserve">Our commercial prospects may be diminished should competitors introduce products or services that demonstrate superior performance, enhanced convenience or improved cost-effectiveness relative to our offerings. Any failure to compete effectively could materially and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have been, and in the future may be, involved in legal proceedings, regulatory inquiries and other legal matters, which may have an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have been, and may in the future be, subject to threatened or actual legal claims, regulatory inquiries, proceedings and other legal matters. We consider our historical experiences with such claims and proceedings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 be in the normal course of our business and typical for our industry. We also operate in a highly competitive industry, and competitors frequently use legal proceedings as a tactic against each other, and our competitors may use legal proceedings, or the threat of legal proceedings, against us. Our decision to pursue this offering has heightened our profile and increased the risk that a competitor may initiate a legal proceeding against us, simply to disrupt this offering and our business. Even if we believe any such claims are without merit and not material to our business, financial condition, results of operations, or prospects, any such legal proceedings will require the attention of our management to respond and resources to defend. If we are involved in a dispute with a competitor, we may need to defend against any claims or take actions, including pursing a lawsuit, which can be costly, may affect our reputation with customers, and there is no assurance that we would prevail in any such action. </w:t>
      </w:r>
    </w:p>
    <w:p>
      <w:pPr>
        <w:pStyle w:val="TextBody"/>
        <w:bidi w:val="0"/>
        <w:spacing w:before="160" w:after="0"/>
        <w:jc w:val="left"/>
        <w:rPr>
          <w:rFonts w:ascii="arial" w:hAnsi="arial"/>
          <w:sz w:val="20"/>
        </w:rPr>
      </w:pPr>
      <w:r>
        <w:rPr>
          <w:rFonts w:ascii="arial" w:hAnsi="arial"/>
          <w:sz w:val="20"/>
        </w:rPr>
        <w:t xml:space="preserve">It is difficult to assess the outcome of litigation matters, and we may not prevail in any current or future proceedings or litigation. There are many uncertainties associated with these matters. Such matters may cause us to incur costly litigation and/or substantial settlement charges, divert management attention, result in adverse judgments, fines, penalties, injunctions or other relief, and may result in loss of customer or investor confidence regardless of their merit of 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stop developing, making, selling or using products or technologies that allegedly infringe, misappropriate or otherwise violate the asserted intellectual property right or pay substantial damages or royalty payments, which could adversely affect our revenue and gross margin in future periods. If any of the foregoing were to occur, our business, financial condition, results of operations, cash flows, prospects, or market price of our common stock could be adversely affected. </w:t>
      </w:r>
    </w:p>
    <w:p>
      <w:pPr>
        <w:pStyle w:val="TextBody"/>
        <w:bidi w:val="0"/>
        <w:spacing w:before="160" w:after="0"/>
        <w:jc w:val="left"/>
        <w:rPr>
          <w:rFonts w:ascii="arial" w:hAnsi="arial"/>
          <w:b/>
          <w:i/>
          <w:sz w:val="20"/>
        </w:rPr>
      </w:pPr>
      <w:r>
        <w:rPr>
          <w:rFonts w:ascii="arial" w:hAnsi="arial"/>
          <w:b/>
          <w:i/>
          <w:sz w:val="20"/>
        </w:rPr>
        <w:t xml:space="preserve">If we do not successfully develop and introduce new assays for our ARGO HT instrument and new versions of our ARGO HT instrument, we may not generate new sources of revenue and may not be able to successfully implement our growth strategy. </w:t>
      </w:r>
    </w:p>
    <w:p>
      <w:pPr>
        <w:pStyle w:val="TextBody"/>
        <w:bidi w:val="0"/>
        <w:spacing w:before="160" w:after="0"/>
        <w:jc w:val="left"/>
        <w:rPr>
          <w:rFonts w:ascii="arial" w:hAnsi="arial"/>
          <w:sz w:val="20"/>
        </w:rPr>
      </w:pPr>
      <w:r>
        <w:rPr>
          <w:rFonts w:ascii="arial" w:hAnsi="arial"/>
          <w:sz w:val="20"/>
        </w:rPr>
        <w:t xml:space="preserve">Our business strategy includes the research and development of new targeted multiplex panels for additional disease and research areas, such as oncology, cardiovascular disease and metabolic disease, as well as the development of assays dedicated to specific applications, such as a health monitoring. For the diagnostic market, we are developing a portfolio of diagnostic-grade assays in various formats, including single-plex and low-multiplex, to support clinical trials of new therapies and precision clinical diagnostics. New assays require significant research and development and a commitment of significant resources, and a potential need to obtain regulatory marketing authorization, prior to their commercialization. Our technology is complex, and we cannot be sure that any assays we intend to develop will be developed successfully, be proven to function as intended, offer improvements over currently available tests, meet applicable standards, obtain regulatory marketing authorization, be produced in commercial quantities at acceptable costs or be successfully marketed. We cannot assure you that any assays we develop will be manufactured or produced economically, successfully commercialized or widely accepted in the marketplace or be more effective than other commercially available alternatives. Moreover, development of particular assays may require licenses or access to third-party intellectual property which may not be available on commercially reasonable terms, or at all. We are also developing new versions of our ARGO HT instrument, including ARGO HT/DX. Any such new versions will need to be granted marketing authorization by the FDA prior to commercialization and may not achieve the same level of market adoption that we have experienced with ARGO HT. If we do not successfully develop new assays for ARGO HT instrument and new versions of our ARGO HT instrument, we could lose revenue opportunities with existing or future customers, which could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business is significantly dependent on researchers who rely heavily on government funding, including NIH grants, and any reduction in, modification of the terms of or delay in such funding could adversely affect our sales and financial performance. </w:t>
      </w:r>
    </w:p>
    <w:p>
      <w:pPr>
        <w:pStyle w:val="TextBody"/>
        <w:bidi w:val="0"/>
        <w:spacing w:before="160" w:after="0"/>
        <w:jc w:val="left"/>
        <w:rPr>
          <w:rFonts w:ascii="arial" w:hAnsi="arial"/>
          <w:sz w:val="20"/>
        </w:rPr>
      </w:pPr>
      <w:r>
        <w:rPr>
          <w:rFonts w:ascii="arial" w:hAnsi="arial"/>
          <w:sz w:val="20"/>
        </w:rPr>
        <w:t xml:space="preserve">A majority of our revenue for each of the years ended December 31, 2024 and 2025 was derived from sales to research institutions and academic institutions that rely heavily on government funding, including grants from the National Institutes of Health (“NIH”) and other government agencies. Government funding is subject to annual appropriations and budgetary constraints, and there is no assurance that such funding will continue at current levels or at all. Changes in government budgets, priorities or policies could result in reduced or delayed funding for our customers’ research. If researchers experience reductions or delays in government funding, or modifications of the terms or conditions of funding, they may reduce or delay their purchases of our products and services, which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Any changes in government regulations or policies that affect the terms of research funding could impact our customers’ ability to secure funding and, consequently, their demand for our products and services. For example, on February 7, 2025, the NIH imposed a standard indirect rate of 15% across all NIH grants for indirect costs, defined as “facilities” and “administration,” in lieu of a separately negotiated rate for indirect costs in every grant. Indirect costs represented $9 billion of the $35 billion in grants awarded by the NIH in 2023, which is more than 25% of total grant dollars awarded by the NIH. Research institutions may face increased financial pressure due to this change or any future caps on indirect costs. The imposition of this cap, or other changes to grant terms and conditions, could lead to reduced funding available for purchasing research supplies and equipment, thereby negatively impacting our sales. </w:t>
      </w:r>
    </w:p>
    <w:p>
      <w:pPr>
        <w:pStyle w:val="TextBody"/>
        <w:bidi w:val="0"/>
        <w:spacing w:before="160" w:after="0"/>
        <w:jc w:val="left"/>
        <w:rPr>
          <w:rFonts w:ascii="arial" w:hAnsi="arial"/>
          <w:sz w:val="20"/>
        </w:rPr>
      </w:pPr>
      <w:r>
        <w:rPr>
          <w:rFonts w:ascii="arial" w:hAnsi="arial"/>
          <w:sz w:val="20"/>
        </w:rPr>
        <w:t xml:space="preserve">In addition, various state, federal and international agencies that provide grants and other funding may be subject to budgetary or other constraints that could result in spending reductions, reduced grant making, reduced allocations or budget cutbacks, which could jeopardize the ability of researchers to purchase our products. For example, congressional appropriations to the NIH have generally increased year-over-year in recent years, but the NIH also experiences occasional year-over-year decreases in appropriations. There is no guarantee that NIH appropriations will not decrease in the future. For example, in January 2025, the Executive Office of the President’s Office of Management and Budget (“OMB”) issued a memorandum “temporarily paus[ing] all activities related to obligation or disbursement of all Federal financial assistance...” which may have the effect of preventing customers or potential customers from accessing grants or funding. Further, in January 2025, a number of scientific gatherings and panels across federal science agencies, including several meetings of NIH study sections which review applications for fellowships and grants, were canceled pursuant to agency notices. These meetings can be hard to reschedule and can substantially delay grant approvals. Any cancellations or pauses in the ability of NIH or other funding bodies to make and execute decisions to fund research which uses our products has in the past and could in the future delay or prevent researchers from purchasing our products, negatively impacting our financial results. A decrease in the amount of, or delay in the approval of, appropriations to or disbursements from the NIH or other funding organizations, such as the Medical Research Council in the United Kingdom, could result in less funding available for life sciences research. Reductions, delays or modified grant terms could also result in a decrease in the aggregate amount of grants awarded or funding disbursed for life sciences research or the redirection of existing funding to other projects or priorities, any of which in turn could cause our customers and potential customers to reduce or delay purchases of our products. Our results of operations may fluctuate substantially due to any such reductions and delays. Any decrease in our customers’ budgets or expenditures, or in the size, scope or frequency of their capital or operating expenditures, could materially and adversely affect our business, financial condition and results of operation.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In each of the years ended December 31, 2024 and 2025, a majority of our revenue came from sales to research and academic institutions. As a result, the demand for our products and services will depend upon research priorities and purchasing patterns of these customers, the ability of such customers to adequately staff, access and utilize labs and conduct research, the research and development budgets of these customers and the ability of such customers to receive funding for research, all of which are impacted by factors beyond our control,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decreases or delays in funding of research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to programs that provide funding to research and academic institutions, including changes in the amount of funds allocated to different areas of research or changes that have the effect of increasing the length of the funding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restrictions upon, availability of, delays or interruptions to funding or other incentives for our customers, including administrative or other delays in funding or incentive award processes, changes in the amount of funds or other incentives allocated to different areas of research, changes that have the effect of increasing the length of the funding or incentive award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competitor product offerings or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in our customers’ research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macroeconomic conditions, including regional, national or global economic downturns, inflation, interest rate or currency fluctuations, trade policies and tariffs, regulatory changes, political instability, labor market conditions, supply chain disruptions and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risks related to our international business, including macroeconomic conditions, local competition or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scientists’ and customers’ opinions of the utility of our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citation of new products, new versions of existing products or services in published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in the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differences in budgetary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delays in spending while customers or potential customers assess and validate newly introduced products or versions of our products prior to purchasing;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market-driven pressures to consolidate operations and reduce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reductions in or other difficulties relating to staffing, capacity, slowdowns or shutdowns of laboratories or other institutions in which our solutions are used, including reduced or delayed spending on instruments or consumables due to reductions in or other difficulties relating to staffing, capacity, slowdowns or shutdowns of laboratories or other institutions in which our products are used;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market acceptance of relatively new technologies, such as ours.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The size of the market for our products may be smaller than estimated, and new market opportunities may not develop as quickly as we expect, or at all, limiting our ability to successfully sell our products and services. </w:t>
      </w:r>
    </w:p>
    <w:p>
      <w:pPr>
        <w:pStyle w:val="TextBody"/>
        <w:bidi w:val="0"/>
        <w:spacing w:before="160" w:after="0"/>
        <w:jc w:val="left"/>
        <w:rPr>
          <w:rFonts w:ascii="arial" w:hAnsi="arial"/>
          <w:sz w:val="20"/>
        </w:rPr>
      </w:pPr>
      <w:r>
        <w:rPr>
          <w:rFonts w:ascii="arial" w:hAnsi="arial"/>
          <w:sz w:val="20"/>
        </w:rPr>
        <w:t xml:space="preserve">The demand for advanced proteomics technologies and products continues to evolve, making it difficult to predict with any accuracy the total potential demand for our products and services. Our estimates of the total addressable market for our current and future products and services are based on a number of estimates, including those we have generated ourselves or commissioned, including but not limited to, growth rates and the assumption that government or other sources of funding will continue to be available to life sciences researchers at times and in amounts necessary to allow them to purchase our products and services. In addition, while we have established Alzheimer’s disease as our beachhead market and expect to maintain rapid adoption in neurology, immunology, cardiovascular disease, metabolic disease and oncology and gain traction in emerging research fields, including health monitoring we will need to establish leading disease panels to drive adoption of our platform in these additional markets. </w:t>
      </w:r>
    </w:p>
    <w:p>
      <w:pPr>
        <w:pStyle w:val="TextBody"/>
        <w:bidi w:val="0"/>
        <w:spacing w:before="160" w:after="0"/>
        <w:jc w:val="left"/>
        <w:rPr>
          <w:rFonts w:ascii="arial" w:hAnsi="arial"/>
          <w:sz w:val="20"/>
        </w:rPr>
      </w:pPr>
      <w:r>
        <w:rPr>
          <w:rFonts w:ascii="arial" w:hAnsi="arial"/>
          <w:sz w:val="20"/>
        </w:rPr>
        <w:t xml:space="preserve">While we believe our assumptions and the data underlying our market estimates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annual total addressable market for our products may be incorrect. </w:t>
      </w:r>
    </w:p>
    <w:p>
      <w:pPr>
        <w:pStyle w:val="TextBody"/>
        <w:bidi w:val="0"/>
        <w:spacing w:before="160" w:after="0"/>
        <w:jc w:val="left"/>
        <w:rPr>
          <w:rFonts w:ascii="arial" w:hAnsi="arial"/>
          <w:b/>
          <w:i/>
          <w:sz w:val="20"/>
        </w:rPr>
      </w:pPr>
      <w:r>
        <w:rPr>
          <w:rFonts w:ascii="arial" w:hAnsi="arial"/>
          <w:b/>
          <w:i/>
          <w:sz w:val="20"/>
        </w:rPr>
        <w:t xml:space="preserve">The future growth of our current and future products depends on many factors beyond our control including, among other factors, recognition and acceptance of our ARGO HT platform by the scientific community and the growth, prevalence and costs of competing products. Such recognition and acceptance may not occur in the near term, or at all. If demand for our current and future products is smaller than estimated or does not develop as we expect, our growth may be limited and our business, financial condition and results of operations may be adversely affected. If our existing and new products or new versions of existing products fail to achieve and sustain sufficient scientific acceptance or if we fail to maintain good relationships with key opinion leaders, our products may not gain widespread acceptance and our prospects may be harmed. </w:t>
      </w:r>
    </w:p>
    <w:p>
      <w:pPr>
        <w:pStyle w:val="TextBody"/>
        <w:bidi w:val="0"/>
        <w:spacing w:before="160" w:after="0"/>
        <w:jc w:val="left"/>
        <w:rPr>
          <w:rFonts w:ascii="arial" w:hAnsi="arial"/>
          <w:sz w:val="20"/>
        </w:rPr>
      </w:pPr>
      <w:r>
        <w:rPr>
          <w:rFonts w:ascii="arial" w:hAnsi="arial"/>
          <w:sz w:val="20"/>
        </w:rPr>
        <w:t xml:space="preserve">The life sciences scientific community is comprised in part of a small number of early adopters and key opinion leaders who can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credibility. In such journal publications, the researchers will describe not only their discoveries but also the methods and typically the products used to fuel such discoveries. We believe mentions in peer-reviewed journal publications is a good barometer for the general acceptance of our products as best practices. The number of times our products were mentioned in peer-reviewed publications has increased significantly since launching our first product in 2024. During this time, our revenue has also increased significantly. Ensuring that early adopters and key opinion leaders publish research involving the use of our products is important to driving widespread acceptance and market growth for our products. Continuing to maintain good relationships with such key opinion leaders is vital to growing our market. If early adopters and KOLs do not favorably describe the use of our products, do not compare our products favorably to existing products and technologies, or negatively describe the use and operation of our products in publications, it may drive potential customers away from our products and prevent broader market acceptance of our products, which could harm our business, financial condition and results of operations. Our products may not continue to be mentioned in peer-reviewed articles with frequency. Any new products or new versions of existing products that we introduce in the future may not be mentioned in peer-reviewed articles. If too few researchers describe the use of our products, too many researchers shift to a competing product and publish research outlining their use of that product or researchers negatively describe the use or usability of our products in publications,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existing and potential customers may be driven away from our products, which could harm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and/or our third-party manufacturing partner may be unable to consistently manufacture our products to the necessary specifications or in quantities necessary to meet demand at an acceptable cost or at an acceptable performance level. </w:t>
      </w:r>
    </w:p>
    <w:p>
      <w:pPr>
        <w:pStyle w:val="TextBody"/>
        <w:bidi w:val="0"/>
        <w:spacing w:before="160" w:after="0"/>
        <w:jc w:val="left"/>
        <w:rPr>
          <w:rFonts w:ascii="arial" w:hAnsi="arial"/>
          <w:sz w:val="20"/>
        </w:rPr>
      </w:pPr>
      <w:r>
        <w:rPr>
          <w:rFonts w:ascii="arial" w:hAnsi="arial"/>
          <w:sz w:val="20"/>
        </w:rPr>
        <w:t xml:space="preserve">Our products are integrated solutions with many different components that work together. As such, a quality defect in a single component can compromise the performance of the entire solution. All of our consumable kit products are manufactured in-house at our facilities in Fremont, California, with antibody manufacturing operations including antibody conjugation, reagent formulation, lyophilization, vial and primer-plate filling, kit assembly and packaging, equipment calibration and maintenance and analytical and functional quality control testing. Because our consumables are produced in large manufacturing batches, which require extended production times, any quality issue, capacity constraint or interruption during production could impact a substantial volume of inventory and delay our ability to meet customer demand. We currently outsource the manufacture and supply of our ARGO HT instrument to a qualified contract manufacturer, GENER8 LLC (“GENER8”), pursuant to that certain Second Amended and Restated Commercial Supply Agreement, dated July 29, 2025, by and between the Company and GENER8 (the “GENER8 Agreement”). We have also established a relationship with a second contract manufacturer for the development and production of our prototype ARGO HT/DX system. In order to successfully generate revenue from our products, we and our third-party manufacturer need to manufacture products that meet our specifications before we allow them to be shipped and to supply our customers with products that meet their expectations for quality and functionality in accordance with established specifications. In order to ensure we are able to meet these expectations, our manufacturing facility, as well as the facilities of our third-party manufacturer, have obtained International Organization for Standardization (“ISO”) quality management certifications and employ other quality control measures. On occasion, our customers have experienced quality control and manufacturing defects and may again in the future. </w:t>
      </w:r>
    </w:p>
    <w:p>
      <w:pPr>
        <w:pStyle w:val="TextBody"/>
        <w:bidi w:val="0"/>
        <w:spacing w:before="160" w:after="0"/>
        <w:jc w:val="left"/>
        <w:rPr>
          <w:rFonts w:ascii="arial" w:hAnsi="arial"/>
          <w:sz w:val="20"/>
        </w:rPr>
      </w:pPr>
      <w:r>
        <w:rPr>
          <w:rFonts w:ascii="arial" w:hAnsi="arial"/>
          <w:sz w:val="20"/>
        </w:rPr>
        <w:t xml:space="preserve">Additionally, as we continue to evolve and introduce new products, it will be increasingly difficult to ensure our products are produced in the necessary quantities without sacrificing quality and in the necessary timeframes. There is no assurance that we will be able to continue to manufacture our products so that they consistently achieve the product specifications, quality and volumes that meet our requirements or our customers’ expectations. Furthermore, if GENER8 were unable or unwilling to fulfill our manufacturing requirements, or if the GENER8 Agreement were terminated, identifying and qualifying an alternative manufacturer capable of producing the ARGO HT instrument to our specifications could require a significant amount of time and may result in production delays, inability to meet customer demand and significant transition costs, which could have a material adverse effect on our business and results of operations. </w:t>
      </w:r>
    </w:p>
    <w:p>
      <w:pPr>
        <w:pStyle w:val="TextBody"/>
        <w:bidi w:val="0"/>
        <w:spacing w:before="160" w:after="0"/>
        <w:jc w:val="left"/>
        <w:rPr>
          <w:rFonts w:ascii="arial" w:hAnsi="arial"/>
          <w:sz w:val="20"/>
        </w:rPr>
      </w:pPr>
      <w:r>
        <w:rPr>
          <w:rFonts w:ascii="arial" w:hAnsi="arial"/>
          <w:sz w:val="20"/>
        </w:rPr>
        <w:t>Certain of the raw and other materials we use and certain of our consumables have a shelf life, after which their performance is not ensured. The expiration of raw and other materials may in the future increase our operational costs and cause delays in manufacturing adequate volumes of our products within the timeframes required. Shipments of defective products to customers resulting in recalls and warranty replacements are possible in the future and may increase our costs, and depending upon current inventory levels and the availability and lead time for additional inventory, could lead to availability issues. Any design issues, unforeseen manufacturing problems, such as contamination of our or our third-party manufacturer’s facilities, equipment malfunctions, aging components, quality issues with components and materials sourced from third-party suppliers or failures to strictly follow procedures or meet specifications, may have a material adverse effect on our brand, business, financial condition and results of operations and could result in us or our third-party manufacturer losing ISO quality management certifications. If we or our third-party manufacturer fail to manufacture products without defects that meet our specifications or maintain ISO quality management certifications, our customers might choose not to purchase products from us. Furthermore, we or our third-</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party manufacturer may not be able to increase manufacturing to meet anticipated demand or may experience downtime. </w:t>
      </w:r>
    </w:p>
    <w:p>
      <w:pPr>
        <w:pStyle w:val="TextBody"/>
        <w:bidi w:val="0"/>
        <w:spacing w:before="160" w:after="0"/>
        <w:jc w:val="left"/>
        <w:rPr>
          <w:rFonts w:ascii="arial" w:hAnsi="arial"/>
          <w:sz w:val="20"/>
        </w:rPr>
      </w:pPr>
      <w:r>
        <w:rPr>
          <w:rFonts w:ascii="arial" w:hAnsi="arial"/>
          <w:sz w:val="20"/>
        </w:rPr>
        <w:t xml:space="preserve">In addition, as we increase manufacturing capacity, we have needed, and in the future may need, to make corresponding improvements to other operational functions, such as our customer service and billing systems, compliance programs and our internal quality assurance programs. We have needed, and may in the future need, additional equipment, manufacturing and warehouse space and trained personnel to process higher volumes of products. We cannot assure you that such increases in scale, related improvements and quality assurance will be successfully implemented or that equipment, manufacturing and warehouse space and appropriate personnel will be available or that they will realize their intended benefits. As we develop additional products, we may need to bring new equipment online, implement new systems, technology, controls and procedures and hire personnel with different qualifications. Our ability to increase our manufacturing capacity at our Fremont, California is complicated by the use of our validated equipment model that is not readily available from third-party manufacturer. </w:t>
      </w:r>
    </w:p>
    <w:p>
      <w:pPr>
        <w:pStyle w:val="TextBody"/>
        <w:bidi w:val="0"/>
        <w:spacing w:before="160" w:after="0"/>
        <w:jc w:val="left"/>
        <w:rPr>
          <w:rFonts w:ascii="arial" w:hAnsi="arial"/>
          <w:sz w:val="20"/>
        </w:rPr>
      </w:pPr>
      <w:r>
        <w:rPr>
          <w:rFonts w:ascii="arial" w:hAnsi="arial"/>
          <w:sz w:val="20"/>
        </w:rPr>
        <w:t xml:space="preserve">The risk of manufacturing defects or quality control issues is generally higher for new products, whether produced by us or a third-party manufacturer, products that are transitioned from one manufacturer to another, particularly if manufacturing is transitioned or initiated with a manufacturer we have not worked with in the past, and products that are transferred from one manufacturing facility to another. Our current product roadmap calls for the research and development of new assays, as well as the launch of a new ARGO HT/DX system for dedicated clinical analysis, which may require that we utilize manufacturers with which we have little or no prior manufacturing experience, which could increase the risk of manufacturing defects or quality control issues. The expansion of our manufacturing capabilities has increased, and in the future could increase, the risk of manufacturing defects or quality control issues in the consumables we manufacture. For example, as we transition to producing larger batches of consumables in each production cycle, manufacturing defects or quality control issues could cause us to lose valuable antibodies or delay product availability which could adversely affect our business. We and our third-party manufacturer may not be able to launch new products on time, transition manufacturing of existing products to new manufacturers, transition our manufacturing capabilities to a new location or transition manufacturing of any additional consumables in-house without manufacturing defects or other issues. </w:t>
      </w:r>
    </w:p>
    <w:p>
      <w:pPr>
        <w:pStyle w:val="TextBody"/>
        <w:bidi w:val="0"/>
        <w:spacing w:before="160" w:after="0"/>
        <w:jc w:val="left"/>
        <w:rPr>
          <w:rFonts w:ascii="arial" w:hAnsi="arial"/>
          <w:sz w:val="20"/>
        </w:rPr>
      </w:pPr>
      <w:r>
        <w:rPr>
          <w:rFonts w:ascii="arial" w:hAnsi="arial"/>
          <w:sz w:val="20"/>
        </w:rPr>
        <w:t xml:space="preserve">An inability to manufacture products and components that consistently meet specifications, in necessary quantities and at commercially acceptable costs, will have a negative impact and may materially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are dependent on single-source and sole-source suppliers for some of the equipment, components and materials used in our products and in conjunction with our products, and the loss of any of these suppliers could harm our business. </w:t>
      </w:r>
    </w:p>
    <w:p>
      <w:pPr>
        <w:pStyle w:val="TextBody"/>
        <w:bidi w:val="0"/>
        <w:spacing w:before="160" w:after="0"/>
        <w:jc w:val="left"/>
        <w:rPr>
          <w:rFonts w:ascii="arial" w:hAnsi="arial"/>
          <w:sz w:val="20"/>
        </w:rPr>
      </w:pPr>
      <w:r>
        <w:rPr>
          <w:rFonts w:ascii="arial" w:hAnsi="arial"/>
          <w:sz w:val="20"/>
        </w:rPr>
        <w:t xml:space="preserve">We rely on single-source suppliers for certain equipment, materials and components of our consumable kit products. Many of our agreements with such suppliers include significant qualifications that would make it extremely difficult for us to force the supplier to provide us with their services, equipment, materials or components should they choose not to do so. We are therefore subject to the risk that these third-party suppliers will not be able or willing to continue to provide us with equipment, materials and components that meet our needs, specifications, quality standards and delivery schedules. Factors that could impact our suppliers’ willingness and ability to continue to provide us with the required equipment, materials and components include shortages, alternative priorities, logistics, tariffs or other trade restrictions impacting our suppliers, shipping or other distribution difficulties, disruption at or affecting our suppliers’ facilities, such as difficulties hiring and retaining adequate staffing, work stoppages or natural disasters, infectious disease, epidemics or pandemics, adverse weather or other conditions that affect their supply, the financial condition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suppliers, disagreements, disputes or deterioration in our relationships with these suppliers or the decision by such suppliers to introduce products that compete directly with our solutions. If we are not able to obtain equipment, materials and components that meet our needs, specifications, quality standards and delivery schedule on satisfactory terms, our business will be harmed. Any increase in equipment, material and component costs or decrease in availability could reduce our sales, harm our gross margins or prevent us from timely delivering our products to our customers. </w:t>
      </w:r>
    </w:p>
    <w:p>
      <w:pPr>
        <w:pStyle w:val="TextBody"/>
        <w:bidi w:val="0"/>
        <w:spacing w:before="160" w:after="0"/>
        <w:jc w:val="left"/>
        <w:rPr>
          <w:rFonts w:ascii="arial" w:hAnsi="arial"/>
          <w:sz w:val="20"/>
        </w:rPr>
      </w:pPr>
      <w:r>
        <w:rPr>
          <w:rFonts w:ascii="arial" w:hAnsi="arial"/>
          <w:sz w:val="20"/>
        </w:rPr>
        <w:t xml:space="preserve">For example, we depend on a single-source supplier for a majority of the antibodies we use in our NULISA assay. We also depend on single-source suppliers for certain components of our instrument and consumable kit products. Lead times for some of these antibodies and instruments can be several months or more, and could be exacerbated by supply chain disruptions, labor shortages or other factors. In the event that demand increases, a manufacturing ‘lot’ does not meet our specifications or we fail to forecast and place purchase orders sufficiently in advance, this could result in a material shortage. Some of the antibodies are proprietary to these suppliers, thereby making second sourcing and development of a replacement difficult. Furthermore, these suppliers have intellectual property rights that could prevent us from sourcing such antibodies and instruments from other suppliers. These suppliers could choose to create products that directly compete with our products and end our current supplier-customer relationships. If antibodies or instruments become unavailable from our current suppliers and we are unable to find acceptable substitutes for these suppliers, we may be required to produce them internally or change our product designs. Such delays in finding acceptable substitutes for our single-source suppliers could materially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Additionally, we have not qualified secondary sources for all materials or components that we source through a single supplier and we cannot assure investors that the qualification of a secondary supplier will prevent future supply issues. Labor shortages, logistics, shipping or other distribution operations difficulties or disruption in the supply of equipment, materials or components could impair our ability to sell our products and meet customer demand, and also could delay the launch of new products or new versions of existing products, any of which could harm our business and results of operations. If we were to have to change suppliers, the new supplier may not be able to provide us equipment, materials or components in a timely manner and in adequate quantities that are consistent with our quality standards and on satisfactory pricing terms. In addition, alternative sources of supply may not be available for equipment or materials. </w:t>
      </w:r>
    </w:p>
    <w:p>
      <w:pPr>
        <w:pStyle w:val="TextBody"/>
        <w:bidi w:val="0"/>
        <w:spacing w:before="160" w:after="0"/>
        <w:jc w:val="left"/>
        <w:rPr>
          <w:rFonts w:ascii="arial" w:hAnsi="arial"/>
          <w:sz w:val="20"/>
        </w:rPr>
      </w:pPr>
      <w:r>
        <w:rPr>
          <w:rFonts w:ascii="arial" w:hAnsi="arial"/>
          <w:sz w:val="20"/>
        </w:rPr>
        <w:t xml:space="preserve">While we have taken steps to mitigate potential supply chain and transportation infrastructure system issues, the impact of supply chain disruptions, logistics, shipping and other distribution disruptions, labor shortages or other factors may exacerbate the risks described in this risk factor and could cause certain of our suppliers to reduce their ability to meet our or our customers’ needs, be unable to operate temporarily or even go out of business permanently. The realization of any of these risks could prevent us from producing, selling or delivering our products, reduce our sales and harm our gross margins or permanently cause a change in one or more of our products that may not be accepted by our customers or cause us to eliminate that product altogether. In addition, our suppliers may face difficulties in procuring or delivering, or in some cases may be unable to procure or deliver, the equipment, materials or components from their own suppliers necessary to supply us with products, equipment, components or materials or conduct experiments using our solutions.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tariffs, trade disputes and other trade restrictions could have a material impact on the ability of suppliers to meet our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competition for shipping and air transport may in the future impact, our ability to timely deliver products to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delays in customs control for imports and exports may impact our ability to timely deliver products to our customers;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energy shortages and other issues may in the future impact, factory production of upstream components utilized by us or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semiconductor chip shortages in the future may impact the availability of semiconductor chips utilized in our instruments and in the manufacture of certain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storage and distribution of vaccines may in the future impact, the availability of cold storage for components and materials used by us and our customers in connection with our products. </w:t>
            </w:r>
          </w:p>
        </w:tc>
      </w:tr>
    </w:tbl>
    <w:p>
      <w:pPr>
        <w:pStyle w:val="TextBody"/>
        <w:bidi w:val="0"/>
        <w:spacing w:before="160" w:after="0"/>
        <w:jc w:val="left"/>
        <w:rPr>
          <w:rFonts w:ascii="arial" w:hAnsi="arial"/>
          <w:b/>
          <w:i/>
          <w:sz w:val="20"/>
        </w:rPr>
      </w:pPr>
      <w:r>
        <w:rPr>
          <w:rFonts w:ascii="arial" w:hAnsi="arial"/>
          <w:b/>
          <w:i/>
          <w:sz w:val="20"/>
        </w:rPr>
        <w:t xml:space="preserve">Errors or defects in our products and software could harm our reputation, our business, and decrease market acceptance of our products, services and software. </w:t>
      </w:r>
    </w:p>
    <w:p>
      <w:pPr>
        <w:pStyle w:val="TextBody"/>
        <w:bidi w:val="0"/>
        <w:spacing w:before="160" w:after="0"/>
        <w:jc w:val="left"/>
        <w:rPr>
          <w:rFonts w:ascii="arial" w:hAnsi="arial"/>
          <w:sz w:val="20"/>
        </w:rPr>
      </w:pPr>
      <w:r>
        <w:rPr>
          <w:rFonts w:ascii="arial" w:hAnsi="arial"/>
          <w:sz w:val="20"/>
        </w:rPr>
        <w:t xml:space="preserve">Our products, as well as the software that accompanies our ARGO HT instrument, are novel and complex and may contain undetected errors or defects when first introduced. We provide warranties that our products will meet performance specifications and will be free from defects. The costs incurred in correcting any defects or errors may be substantial and could adversely affect our financial condition and results of operations. These costs may increase as we develop additional products. </w:t>
      </w:r>
    </w:p>
    <w:p>
      <w:pPr>
        <w:pStyle w:val="TextBody"/>
        <w:bidi w:val="0"/>
        <w:spacing w:before="160" w:after="0"/>
        <w:jc w:val="left"/>
        <w:rPr>
          <w:rFonts w:ascii="arial" w:hAnsi="arial"/>
          <w:sz w:val="20"/>
        </w:rPr>
      </w:pPr>
      <w:r>
        <w:rPr>
          <w:rFonts w:ascii="arial" w:hAnsi="arial"/>
          <w:sz w:val="20"/>
        </w:rPr>
        <w:t xml:space="preserve">In manufacturing our products, we depend upon third parties for the supply of various components, many of which require a significant degree of technical expertise to produce. If our suppliers fail to produce our components to specification or provide defective products to us and our quality control tests and procedures fail to detect such errors or defects, or we or our suppliers use defective materials in the manufacturing process, the reliability and performance of our products will be compromised. </w:t>
      </w:r>
    </w:p>
    <w:p>
      <w:pPr>
        <w:pStyle w:val="TextBody"/>
        <w:bidi w:val="0"/>
        <w:spacing w:before="160" w:after="0"/>
        <w:jc w:val="left"/>
        <w:rPr>
          <w:rFonts w:ascii="arial" w:hAnsi="arial"/>
          <w:sz w:val="20"/>
        </w:rPr>
      </w:pPr>
      <w:r>
        <w:rPr>
          <w:rFonts w:ascii="arial" w:hAnsi="arial"/>
          <w:sz w:val="20"/>
        </w:rPr>
        <w:t xml:space="preserve">Disruptions or other performance problems with our products, services or software may adversely impact our customers’ research or business, harm our reputation and result in reduced revenue or increased costs associated with product repairs or replacements. Additionally, any errors or defects in our products, services or software may give rise to claims against us that exceed any revenue or profit we receive from the affected products, services or software. Our limited representations for services cover nonconformance with generally accepted and applicable standards of service, and our limited product warranties cover manufacturing defects for use in accordance with applicable specifications and instructions. If any of these issues occur, we may also incur significant costs, the attention of our key personnel could be diverted or other significant customer relations problems may arise. </w:t>
      </w:r>
    </w:p>
    <w:p>
      <w:pPr>
        <w:pStyle w:val="TextBody"/>
        <w:bidi w:val="0"/>
        <w:spacing w:before="160" w:after="0"/>
        <w:jc w:val="left"/>
        <w:rPr>
          <w:rFonts w:ascii="arial" w:hAnsi="arial"/>
          <w:b/>
          <w:i/>
          <w:sz w:val="20"/>
        </w:rPr>
      </w:pPr>
      <w:r>
        <w:rPr>
          <w:rFonts w:ascii="arial" w:hAnsi="arial"/>
          <w:b/>
          <w:i/>
          <w:sz w:val="20"/>
        </w:rPr>
        <w:t xml:space="preserve">Enhanced trade tariffs, import restrictions, export restrictions, foreign regulations or other trade barriers may materially harm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We sell our products primarily through our direct sales channels in North America, Europe and China. We have also established distribution agreements in Australia, portions of Eastern Europe, India, Japan, Singapore and South Korea. We plan to broaden our geographic footprint, both directly in North America, Europe and in the Middle East &amp; Africa (“EMEA”), and through these distributor relationships. </w:t>
      </w:r>
    </w:p>
    <w:p>
      <w:pPr>
        <w:pStyle w:val="TextBody"/>
        <w:bidi w:val="0"/>
        <w:spacing w:before="160" w:after="0"/>
        <w:jc w:val="left"/>
        <w:rPr>
          <w:rFonts w:ascii="arial" w:hAnsi="arial"/>
          <w:sz w:val="20"/>
        </w:rPr>
      </w:pPr>
      <w:r>
        <w:rPr>
          <w:rFonts w:ascii="arial" w:hAnsi="arial"/>
          <w:sz w:val="20"/>
        </w:rPr>
        <w:t xml:space="preserve">We have experienced an increasing concentration of sales in certain regions outside the United States, including in Europe, the Asia-Pacific (“APAC”) and EMEA regions. For the years ended December 31, 2024 and 2025, sales outside of North America constituted a substantial component of our total sales revenue and our largest markets outside of North America were 42% and 38%, respectively. There is currently significant uncertainty about the future relationship between the United States and its trade partners with respect to trade policies, treaties, government regulations and tariffs, and the United States has stated it is considering tariffs or other restrictions on goods from a number of other countries. </w:t>
      </w:r>
    </w:p>
    <w:p>
      <w:pPr>
        <w:pStyle w:val="TextBody"/>
        <w:bidi w:val="0"/>
        <w:spacing w:before="160" w:after="0"/>
        <w:jc w:val="left"/>
        <w:rPr>
          <w:rFonts w:ascii="arial" w:hAnsi="arial"/>
          <w:sz w:val="20"/>
        </w:rPr>
      </w:pPr>
      <w:r>
        <w:rPr>
          <w:rFonts w:ascii="arial" w:hAnsi="arial"/>
          <w:sz w:val="20"/>
        </w:rPr>
        <w:t xml:space="preserve">Changes in trade policies and regulations in the United States may subject our business to retaliatory measures taken by trade partners that would have an adverse impact on our financial condition. Such measures could include restrictions on our ability to sell or import our products into other countries or increase the prices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products. For example, in February 2025, the United States increased tariffs on goods imported into the United States from China by 10%, and China responded by imposing a 15% tariff on coal and liquified natural gas products and a 10% tariff on crude oil, agricultural machinery and certain automobiles. These tariffs could increase our costs, negatively impacting our financial condition. It is possible further tariffs may be imposed that could affect the export or sale of our products. The nature of the dispute between the United States and its trade partners is evolving and additional products such as ours could become subject to tariffs, which could adversely affect the marketability of our products and our results of operations. Further, the continued threats of tariffs, trade restrictions and trade barriers could have a generally disruptive impact on the global economy, including increases in inflation and interest rates, and, therefore, negatively impact our sales. Given the relatively fluid regulatory environment between the United States and its trade partners and uncertainty how each will act with respect to tariffs, international trade agreements and policies, there could be additional tax or other regulatory changes in the future. Any such changes could directly or indirectly materially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In recent years, the U.S. government has a renewed focus on export control matters. For example, the Export Control Reform Act of 2018 and regulatory guidance thereunder have imposed additional controls and may result in the imposition of further additional controls on the export of certain “emerging and foundational technologies.” Our current and future products may be subject to these heightened regulations, which could increase our compliance costs. </w:t>
      </w:r>
    </w:p>
    <w:p>
      <w:pPr>
        <w:pStyle w:val="TextBody"/>
        <w:bidi w:val="0"/>
        <w:spacing w:before="160" w:after="0"/>
        <w:jc w:val="left"/>
        <w:rPr>
          <w:rFonts w:ascii="arial" w:hAnsi="arial"/>
          <w:sz w:val="20"/>
        </w:rPr>
      </w:pPr>
      <w:r>
        <w:rPr>
          <w:rFonts w:ascii="arial" w:hAnsi="arial"/>
          <w:sz w:val="20"/>
        </w:rPr>
        <w:t xml:space="preserve">Trade actions, including the imposition of new, or changes in existing, tariffs, trade restrictions, trade barriers, export controls, antitrust investigations or retaliatory measures taken by trade partners in response to U.S. trade practices could adversely impact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future success is dependent upon our ability to increase penetration in our existing customer base and to expand to new customers. </w:t>
      </w:r>
    </w:p>
    <w:p>
      <w:pPr>
        <w:pStyle w:val="TextBody"/>
        <w:bidi w:val="0"/>
        <w:spacing w:before="160" w:after="0"/>
        <w:jc w:val="left"/>
        <w:rPr>
          <w:rFonts w:ascii="arial" w:hAnsi="arial"/>
          <w:sz w:val="20"/>
        </w:rPr>
      </w:pPr>
      <w:r>
        <w:rPr>
          <w:rFonts w:ascii="arial" w:hAnsi="arial"/>
          <w:sz w:val="20"/>
        </w:rPr>
        <w:t xml:space="preserve">Our customer base includes top global research institutions and academic institutions, biopharmaceutical companies and contract research organizations. Our success will depend upon our ability to respond to the evolving needs of and increase our market share among existing customers, including by generating sales of our ARGO HT instrument from users of our Technology Access Program, and on our ability to add new customers. Identifying, engaging and marketing to new customers requires substantial time, expertise and expense and involves a number of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attract, retain and manage the sales, marketing and service personnel necessary to increase our customer base and broaden market acceptance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time and cost of maintaining and growing a specialized sales, marketing and service infrastructure;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sales force and marketing and service organization may be unable to successfully execute on our commercial strategy. </w:t>
            </w:r>
          </w:p>
        </w:tc>
      </w:tr>
    </w:tbl>
    <w:p>
      <w:pPr>
        <w:pStyle w:val="TextBody"/>
        <w:bidi w:val="0"/>
        <w:spacing w:before="160" w:after="0"/>
        <w:jc w:val="left"/>
        <w:rPr>
          <w:rFonts w:ascii="arial" w:hAnsi="arial"/>
          <w:sz w:val="20"/>
        </w:rPr>
      </w:pPr>
      <w:r>
        <w:rPr>
          <w:rFonts w:ascii="arial" w:hAnsi="arial"/>
          <w:sz w:val="20"/>
        </w:rPr>
        <w:t xml:space="preserve">In addition to expanding our direct sales channel in North America, Europe and China, we are broadening our geographic footprint through established distributor relationships in Australia, portions of Eastern Europe, India, Japan, Singapore and South Korea.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 </w:t>
      </w:r>
    </w:p>
    <w:p>
      <w:pPr>
        <w:pStyle w:val="TextBody"/>
        <w:bidi w:val="0"/>
        <w:spacing w:before="160" w:after="0"/>
        <w:jc w:val="left"/>
        <w:rPr>
          <w:rFonts w:ascii="arial" w:hAnsi="arial"/>
          <w:sz w:val="20"/>
        </w:rPr>
      </w:pPr>
      <w:r>
        <w:rPr>
          <w:rFonts w:ascii="arial" w:hAnsi="arial"/>
          <w:sz w:val="20"/>
        </w:rPr>
        <w:t xml:space="preserve">Additionally, a component of our growth strategy involves the expansion of our customer base internationally. We are continuing to develop strategies to expand in international markets, but there is no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guarantee that we will be successful in achieving similar market adoption internationally, on a timely basis or at all, and such efforts to expand our customer basis internationally may require a substantially larger investment than we expect, which could adversely impact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results of operations have in the past fluctuated significantly and may continue to fluctuate significantly in the future, which makes our future results of operations difficult to predict, and could cause our results of operations to fall below expectations or any guidance we may provide. </w:t>
      </w:r>
    </w:p>
    <w:p>
      <w:pPr>
        <w:pStyle w:val="TextBody"/>
        <w:bidi w:val="0"/>
        <w:spacing w:before="160" w:after="0"/>
        <w:jc w:val="left"/>
        <w:rPr>
          <w:rFonts w:ascii="arial" w:hAnsi="arial"/>
          <w:sz w:val="20"/>
        </w:rPr>
      </w:pPr>
      <w:r>
        <w:rPr>
          <w:rFonts w:ascii="arial" w:hAnsi="arial"/>
          <w:sz w:val="20"/>
        </w:rPr>
        <w:t xml:space="preserve">Our quarterly and annual results of operations have in the past and may in the future continue to fluctuate significantly, which makes it difficult for us to predict our future results of operations.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dependence on single source and sole source suppliers for some of the components and materials used in our products and the potential to lose any of these single source or sole source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production problems and quality issues with the materials we purchase for manufacturing, which could impact our ability to manufacture and ship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level of demand for our products, which may vary significantly and result in excess capacity expenses, and our ability to increase penetration in our existing markets and expand into new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timing and cost of, and level of investment in, research and development and commercialization activities relating to our products, which may change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volume and mix of our product and services sales or changes in the manufacturing or sales costs related to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reductions in or other difficulties relating to staffing, capacity, shutdowns or slowdowns of laboratories and other institutions, such as reduced or delayed spending on instruments or consumables due to reductions in or other difficulties relating to staffing, capacity, shutdowns or slowdowns of laboratories and other institutions in which our products are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the timing and amount of expenditures that we may incur to acquire, develop or commercialize additional products or for other purposes, such as the expansion of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governmental funding of life sciences research and development or changes that impact budgets, budget cycles or seasonal spending patterns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effects of inflation on us or our customers and suppliers, including increases in the cost of labor and materials, including as a result of tariffs imposed by the United States which are currently, or may in the future be, under consideration, proposed or enacted;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future accounting pronouncements or changes in our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outcome of any current or future litigation or governmental investigations involving us, our industry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difficulties encountered in delivering our products and services, whether as a result of external factors, such as weather, customs or import processes, transportation bottlenecks, port lockdowns or slowdowns or fuel shortages, or internal issues, such as labor disputes or difficulties hiring and retaining adequate staffing;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changes in general market conditions and other factors, including factors unrelated to our operating performance or the performance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sales cycles for institutional customers, which may vary based on factors such as research stage, familiarity with our products, prior purchasing history and system adoption strategies;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higher than anticipated warranty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customers accelerating, canceling, reducing or delaying orders as a result of developments related to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seasonality of customer demand throughout the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effects of competition, including competition with both new and existing companies offering products that compete or intend to compete with our products and may offer performance, price or other advantages, as well as researchers developing their own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enhanced trade tariffs, import restrictions, export restrictions, foreign regulations or other trade barriers, including retaliatory measures taken by trade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fluctuations in demand for our products, which may vary significantly, our ability to accurately forecast demand and our ability to increase penetration with our existing customers and to expand to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investment decisions we make with respect to the allocation of our resources, including regarding product development or to support our commercial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expenses related to our facilities and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ability to successfully integrate personnel, technology and other assets that we acquire into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reputation or public perception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general market conditions and other factors, including factors unrelated to our operating performance or the operating performance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impacts of geopolitical issues, infectious disease, epidemics or pandemics on our business operations and on the business operations of our customers, manufacturers and suppliers;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other factors described in this “Risk factors” section. </w:t>
            </w:r>
          </w:p>
        </w:tc>
      </w:tr>
    </w:tbl>
    <w:p>
      <w:pPr>
        <w:pStyle w:val="TextBody"/>
        <w:bidi w:val="0"/>
        <w:spacing w:before="160" w:after="0"/>
        <w:jc w:val="left"/>
        <w:rPr>
          <w:rFonts w:ascii="arial" w:hAnsi="arial"/>
          <w:sz w:val="20"/>
        </w:rPr>
      </w:pPr>
      <w:r>
        <w:rPr>
          <w:rFonts w:ascii="arial" w:hAnsi="arial"/>
          <w:sz w:val="20"/>
        </w:rPr>
        <w:t xml:space="preserve">The cumulative effects of the factors discussed above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 </w:t>
      </w:r>
    </w:p>
    <w:p>
      <w:pPr>
        <w:pStyle w:val="TextBody"/>
        <w:bidi w:val="0"/>
        <w:spacing w:before="160" w:after="0"/>
        <w:jc w:val="left"/>
        <w:rPr>
          <w:rFonts w:ascii="arial" w:hAnsi="arial"/>
          <w:sz w:val="20"/>
        </w:rPr>
      </w:pPr>
      <w:r>
        <w:rPr>
          <w:rFonts w:ascii="arial" w:hAnsi="arial"/>
          <w:sz w:val="20"/>
        </w:rPr>
        <w:t xml:space="preserve">This variability and unpredictability could also result in our failing to meet the expectations of industry or financial analysts or investors at any time. If our revenue or results of operations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or exceeded any previously publicly stated guidance we may provide. </w:t>
      </w:r>
    </w:p>
    <w:p>
      <w:pPr>
        <w:pStyle w:val="TextBody"/>
        <w:bidi w:val="0"/>
        <w:spacing w:before="160" w:after="0"/>
        <w:jc w:val="left"/>
        <w:rPr>
          <w:rFonts w:ascii="arial" w:hAnsi="arial"/>
          <w:b/>
          <w:i/>
          <w:sz w:val="20"/>
        </w:rPr>
      </w:pPr>
      <w:r>
        <w:rPr>
          <w:rFonts w:ascii="arial" w:hAnsi="arial"/>
          <w:b/>
          <w:i/>
          <w:sz w:val="20"/>
        </w:rPr>
        <w:t xml:space="preserve">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The manufacturing processes we and our third-party manufacturer use to produce our ARGO HT instrument and consumables and are specialized and highly complex and require high-quality components. We may have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quality variations, supply issues, backorders, delays, shortages or production difficulties of needed components and may require components that are difficult to obtain or manufacture in necessary quantities and at necessary quality, in a timely manner or in accordance with regulatory requirements. </w:t>
      </w:r>
    </w:p>
    <w:p>
      <w:pPr>
        <w:pStyle w:val="TextBody"/>
        <w:bidi w:val="0"/>
        <w:spacing w:before="160" w:after="0"/>
        <w:jc w:val="left"/>
        <w:rPr>
          <w:rFonts w:ascii="arial" w:hAnsi="arial"/>
          <w:sz w:val="20"/>
        </w:rPr>
      </w:pPr>
      <w:r>
        <w:rPr>
          <w:rFonts w:ascii="arial" w:hAnsi="arial"/>
          <w:sz w:val="20"/>
        </w:rPr>
        <w:t xml:space="preserve">These issues, issues with our manufacturing processes or the manufacturing processes of our third-party manufacturer, shipping issues, inaccurate demand forecasts or other production issues could result in our inability to produce our products in sufficient volumes and at sufficient quality to meet demand, supply our products to our customers and for our research and development needs, and could also result in backorders, insufficient inventory, excess inventory, shipping delays, product deficiencies or other operational failures. Many other factors could cause production or shipping delays or interruptions, including difficulties in transporting materials, equipment, raw material or other shortages, raw material failures, spoilage, equipment malfunctions, facility contamination, labor problems, natural disasters, tariffs, trade disputes and other trade restrictions, infectious disease, conflict, war, civil unrest, epidemics or pandemics, disruption in utility services, terrorist activities or circumstances beyond our control. Additionally, we and our third-party manufacturers may encounter problems in hiring and retaining the experienced specialized personnel needed to develop and operate our manufacturing processes or the manufacturing processes of our third-party manufacturers, which could result in backorders, shortages, delays in our production or difficulties in maintaining compliance with applicable regulatory requirements. </w:t>
      </w:r>
    </w:p>
    <w:p>
      <w:pPr>
        <w:pStyle w:val="TextBody"/>
        <w:bidi w:val="0"/>
        <w:spacing w:before="160" w:after="0"/>
        <w:jc w:val="left"/>
        <w:rPr>
          <w:rFonts w:ascii="arial" w:hAnsi="arial"/>
          <w:sz w:val="20"/>
        </w:rPr>
      </w:pPr>
      <w:r>
        <w:rPr>
          <w:rFonts w:ascii="arial" w:hAnsi="arial"/>
          <w:sz w:val="20"/>
        </w:rPr>
        <w:t xml:space="preserve">These issues, or any other problems with the production or timely manufacture and shipment of our ARGO HT instruments and consumables, could materially harm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products generate complex proteomic data that require specialized analysis software to uncover meaningful biological insights. </w:t>
      </w:r>
    </w:p>
    <w:p>
      <w:pPr>
        <w:pStyle w:val="TextBody"/>
        <w:bidi w:val="0"/>
        <w:spacing w:before="160" w:after="0"/>
        <w:jc w:val="left"/>
        <w:rPr>
          <w:rFonts w:ascii="arial" w:hAnsi="arial"/>
          <w:sz w:val="20"/>
        </w:rPr>
      </w:pPr>
      <w:r>
        <w:rPr>
          <w:rFonts w:ascii="arial" w:hAnsi="arial"/>
          <w:sz w:val="20"/>
        </w:rPr>
        <w:t xml:space="preserve">Our products generate complex data that can present challenges in terms of understanding and interpretation, particularly for customers who may lack bioinformatics expertise or dedicated computational resources. The advanced nature of the data generated by our products requires a certain level of expertise to analyze and interpret effectively. Although our integrated software and data analysis is designed to simplify interpretation and translate measurements into biological insights and publication-ready results, some of our customers may lack the necessary technical skills or resources to fully understand and utilize the data. As a result, they may experience difficulties in deriving insights, which could delay additional usage of our products or diminish their perceived value. </w:t>
      </w:r>
    </w:p>
    <w:p>
      <w:pPr>
        <w:pStyle w:val="TextBody"/>
        <w:bidi w:val="0"/>
        <w:spacing w:before="160" w:after="0"/>
        <w:jc w:val="left"/>
        <w:rPr>
          <w:rFonts w:ascii="arial" w:hAnsi="arial"/>
          <w:sz w:val="20"/>
        </w:rPr>
      </w:pPr>
      <w:r>
        <w:rPr>
          <w:rFonts w:ascii="arial" w:hAnsi="arial"/>
          <w:sz w:val="20"/>
        </w:rPr>
        <w:t xml:space="preserve">To address the complexity of data, we provide extensive documentation, training and support to our customers utilizing our global support organization. Providing ongoing customer education and technical assistance may increase operational costs, and place additional demands on our customer support teams. If customers struggle to extract meaningful insights from their data, this could reduce the perceived value of our solutions and slow adoption of our solutions. If customers encounter difficulties with data analysis, it could negatively impact their satisfaction with our products, lead to delays in reordering our products or services or lead them to decide not to purchase additional products or services, any of which would negatively impact our financial results. </w:t>
      </w:r>
    </w:p>
    <w:p>
      <w:pPr>
        <w:pStyle w:val="TextBody"/>
        <w:bidi w:val="0"/>
        <w:spacing w:before="160" w:after="0"/>
        <w:jc w:val="left"/>
        <w:rPr>
          <w:rFonts w:ascii="arial" w:hAnsi="arial"/>
          <w:b/>
          <w:i/>
          <w:sz w:val="20"/>
        </w:rPr>
      </w:pPr>
      <w:r>
        <w:rPr>
          <w:rFonts w:ascii="arial" w:hAnsi="arial"/>
          <w:b/>
          <w:i/>
          <w:sz w:val="20"/>
        </w:rPr>
        <w:t xml:space="preserve">Our long-term results depend upon our ability to improve existing products and technology and develop and introduce new products and technologies successfully. </w:t>
      </w:r>
    </w:p>
    <w:p>
      <w:pPr>
        <w:pStyle w:val="TextBody"/>
        <w:bidi w:val="0"/>
        <w:spacing w:before="160" w:after="0"/>
        <w:jc w:val="left"/>
        <w:rPr>
          <w:rFonts w:ascii="arial" w:hAnsi="arial"/>
          <w:sz w:val="20"/>
        </w:rPr>
      </w:pPr>
      <w:r>
        <w:rPr>
          <w:rFonts w:ascii="arial" w:hAnsi="arial"/>
          <w:sz w:val="20"/>
        </w:rPr>
        <w:t xml:space="preserve">Our business is dependent on the continued improvement of our existing products and our development of new products utilizing our existing or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delays in the introduction of new products or that evolving supply chains will not be materially delayed or disrupted in the future. In addition, introducing new products could result in a decrease in revenues from our existing products. Consistent with our strategy of offering new products and product refinements, we expect to continue to use a substantial amount of capital for product development and refinement. We may need more capital for product development and refinement than is available on terms favorable to us, if at all, which could adversely affect our business, financial condition or results of operations. </w:t>
      </w:r>
    </w:p>
    <w:p>
      <w:pPr>
        <w:pStyle w:val="TextBody"/>
        <w:bidi w:val="0"/>
        <w:spacing w:before="160" w:after="0"/>
        <w:jc w:val="left"/>
        <w:rPr>
          <w:rFonts w:ascii="arial" w:hAnsi="arial"/>
          <w:sz w:val="20"/>
        </w:rPr>
      </w:pPr>
      <w:r>
        <w:rPr>
          <w:rFonts w:ascii="arial" w:hAnsi="arial"/>
          <w:sz w:val="20"/>
        </w:rPr>
        <w:t xml:space="preserve">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correctly identify customer needs and preferences and predict future needs and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allocate our research and development funding to products with higher growth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anticipate and respond to our competitors’ development of new products and technological innovations;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innovate and develop new technologies and applications, and acquire or obtain rights to third-party technologies that may have valuable applications in the markets we 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successfully commercialize new technologies in a timely manner, price them competitively and manufacture and deliver sufficient volumes of new products of appropriate quality 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maintain our existing collaborative relationships with KOLs in the life sciences scientific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convince customers to adopt new technologies;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 functioning global supply chains with multiple third parties to bring products to market. </w:t>
            </w:r>
          </w:p>
        </w:tc>
      </w:tr>
    </w:tbl>
    <w:p>
      <w:pPr>
        <w:pStyle w:val="TextBody"/>
        <w:bidi w:val="0"/>
        <w:spacing w:before="160" w:after="0"/>
        <w:jc w:val="left"/>
        <w:rPr>
          <w:rFonts w:ascii="arial" w:hAnsi="arial"/>
          <w:sz w:val="20"/>
        </w:rPr>
      </w:pPr>
      <w:r>
        <w:rPr>
          <w:rFonts w:ascii="arial" w:hAnsi="arial"/>
          <w:sz w:val="20"/>
        </w:rPr>
        <w:t xml:space="preserve">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 </w:t>
      </w:r>
    </w:p>
    <w:p>
      <w:pPr>
        <w:pStyle w:val="TextBody"/>
        <w:bidi w:val="0"/>
        <w:spacing w:before="160" w:after="0"/>
        <w:jc w:val="left"/>
        <w:rPr>
          <w:rFonts w:ascii="arial" w:hAnsi="arial"/>
          <w:sz w:val="20"/>
        </w:rPr>
      </w:pPr>
      <w:r>
        <w:rPr>
          <w:rFonts w:ascii="arial" w:hAnsi="arial"/>
          <w:sz w:val="20"/>
        </w:rPr>
        <w:t xml:space="preserve">Our ability to develop new products based on innovation can affect our competitive position and often requires the investment of significant resources. Difficulties or delays in research, development or production of new products and technologies or failure to gain market acceptance of new products and technologies may reduce future revenues and adversely affect our competitive position,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Conducting business internationally creates operational and financial risks for our business. </w:t>
      </w:r>
    </w:p>
    <w:p>
      <w:pPr>
        <w:pStyle w:val="TextBody"/>
        <w:bidi w:val="0"/>
        <w:spacing w:before="160" w:after="0"/>
        <w:jc w:val="left"/>
        <w:rPr>
          <w:rFonts w:ascii="arial" w:hAnsi="arial"/>
          <w:sz w:val="20"/>
        </w:rPr>
      </w:pPr>
      <w:r>
        <w:rPr>
          <w:rFonts w:ascii="arial" w:hAnsi="arial"/>
          <w:sz w:val="20"/>
        </w:rPr>
        <w:t xml:space="preserve">For the years ended December 31, 2024 and 2025, approximately 42% and 38%, respectively, of our revenue was generated from sales to customers located outside of North America. We believe that a significant portion of our future revenue will come from international sources. We sell directly in North America, Europe and China, and have a significant portion of our sales and customer service personnel outside of the United States. We sell certain of our products through third-party distributors in each of these regions. As a result, we or our distribution partners may be subject to additional regulations. Conducting operations on an international scale requires close coordination of activities across multiple jurisdictions and time zones. If we fail to coordinate and manage these activities effectively, our business, financial condition or results of operations could be materially and adversely affected and failure to comply with laws and regulations applicable to business operations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foreign jurisdictions may also subject us to significant liabilities and other penalties. International operations entail a variety of other risks,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variances in demand for our products across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challenges in staffing and managing foreign operations, including executing our commercial goals and our dependence on our distributors in certain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heightened employment, labor, and immigration requirements outside of the United States, including mandatory terms and benefits, consultation, severance and limits on terminations, restrictions on non competes, contractor and PEO misclassification and joint employer risk, and immigration constraints, which could increase costs, reduce workforce flexibility, and disrupt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tariffs or other restrictions imposed by the United States on goods from other countries and tariffs or other restrictions imposed by other countries on U.S. goods, or increases in existing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in diplomatic and trade relationships, including new or enhanced tariffs or duties, trade protection measures, import or export licensing requirements, trade embargoes and other trade barriers;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potentially longer sales cycles and more time required to engage and educate customers on the benefits of our products outside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complexities associated with managing third-party contract manufacturers and suppliers located outside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U.S. and foreign government trade restrictions, including those which may impose restrictions on the importation, exportation, re-exportation, sale, shipment or other transfer of programming, technology, components and/or services to foreign persons or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reduced protection for intellectual property rights in some countries and practical difficulties of enforcing intellectual property or other legal rights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deterioration of political relations between the United States and China, the United States and Russia or other nations or political organizations, which could have a material adverse effect on our sales and operations in these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changes in social, political and economic conditions or in laws, regulations and policies governing foreign trade, manufacturing, development and investment both domestically as well as in the other countries and jurisdictions into which we sell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difficulties in obtaining export licenses or in overcoming other trade barriers and restrictions resulting in delivery delays or our inability to manufacture or sell our products in certain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natural disasters, infectious diseases, conflict, geopolitical turmoil, war, civil unrest, epidemics, pandemics or major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increased financial accounting and reporting burdens and complexities;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potential need for localized software, documentation and post-sales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higher levels of credit risk and payment fraud and longer payment cycles associated with, and increased difficulty of payment collections from certain international customers;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significant taxes or other burdens of complying with a variety of foreign laws, including laws relating to privacy and data protection such as the European Union General Data Protection Regulation. </w:t>
            </w:r>
          </w:p>
        </w:tc>
      </w:tr>
    </w:tbl>
    <w:p>
      <w:pPr>
        <w:pStyle w:val="TextBody"/>
        <w:bidi w:val="0"/>
        <w:spacing w:before="160" w:after="0"/>
        <w:jc w:val="left"/>
        <w:rPr>
          <w:rFonts w:ascii="arial" w:hAnsi="arial"/>
          <w:sz w:val="20"/>
        </w:rPr>
      </w:pPr>
      <w:r>
        <w:rPr>
          <w:rFonts w:ascii="arial" w:hAnsi="arial"/>
          <w:sz w:val="20"/>
        </w:rPr>
        <w:t xml:space="preserve">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These laws generally prohibit, unless authorized by the relevant authority or otherwise exempt from the regulations, the conduct of business with persons, countries, regions, and governments that are targeted by “sanctions,” including but not limited to persons listed on the United States Department of Commerce’s List of Denied Persons and Entity List and the United States Department of Treasury’s Specially Designated Nationals and Blocked Persons List, and the countries and territories subject to trade embargoes by the United States. Our global operations expose us to the risk of violating, or being accused of violating, these laws and regulations. Failure to comply may subject us to reputational harm, claims or significant financial and/or other penalties in the United States and/or foreign countries that could materially and adversely impact our financial condition or results of operations, including criminal fines, imprisonment, civil fines, disgorgement of profits, injunctions and debarment from government contracts, as well as other remedial measures. Investigations of alleged violations can be expensive and disruptive. </w:t>
      </w:r>
    </w:p>
    <w:p>
      <w:pPr>
        <w:pStyle w:val="TextBody"/>
        <w:bidi w:val="0"/>
        <w:spacing w:before="160" w:after="0"/>
        <w:jc w:val="left"/>
        <w:rPr>
          <w:rFonts w:ascii="arial" w:hAnsi="arial"/>
          <w:sz w:val="20"/>
        </w:rPr>
      </w:pPr>
      <w:r>
        <w:rPr>
          <w:rFonts w:ascii="arial" w:hAnsi="arial"/>
          <w:sz w:val="20"/>
        </w:rPr>
        <w:t xml:space="preserve">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results of operations. Even if we implement policies or procedures designed to ensure compliance with these laws and regulations, there can be no assurance that our distribution partners, our employees, contractors or agents will not violate our policies and subject us to potential claims or penalties. </w:t>
      </w:r>
    </w:p>
    <w:p>
      <w:pPr>
        <w:pStyle w:val="TextBody"/>
        <w:bidi w:val="0"/>
        <w:spacing w:before="160" w:after="0"/>
        <w:jc w:val="left"/>
        <w:rPr>
          <w:rFonts w:ascii="arial" w:hAnsi="arial"/>
          <w:b/>
          <w:i/>
          <w:sz w:val="20"/>
        </w:rPr>
      </w:pPr>
      <w:r>
        <w:rPr>
          <w:rFonts w:ascii="arial" w:hAnsi="arial"/>
          <w:b/>
          <w:i/>
          <w:sz w:val="20"/>
        </w:rPr>
        <w:t xml:space="preserve">Certain disruptions in supply of, and changes in the competitive environment for, raw materials integral to the manufacturing of our products may adversely affect our profitability. </w:t>
      </w:r>
    </w:p>
    <w:p>
      <w:pPr>
        <w:pStyle w:val="TextBody"/>
        <w:bidi w:val="0"/>
        <w:spacing w:before="160" w:after="0"/>
        <w:jc w:val="left"/>
        <w:rPr>
          <w:rFonts w:ascii="arial" w:hAnsi="arial"/>
          <w:sz w:val="20"/>
        </w:rPr>
      </w:pPr>
      <w:r>
        <w:rPr>
          <w:rFonts w:ascii="arial" w:hAnsi="arial"/>
          <w:sz w:val="20"/>
        </w:rPr>
        <w:t xml:space="preserve">We use a broad range of materials and supplies, including metals, chemicals and electronic components, in our products. A significant disruption in the supply of materials could decrease production and shipping levels, materially increase our operating costs and materially adversely affect our results of operations. Shortages of materials or interruptions in production and transportation systems, labor strikes, work stoppages, infectious disease, epidemics or pandemics, geopolitical issues (including tariffs, trade disputes and other trade restrictions), conflict, war, civil unrest, acts of terrorism or other interruptions to or difficulties in the employment of labor or transportation that adversely impact equipment, materials and components we require for the production of our products, may adversely affect our ability to maintain production of our products and generate revenue. In addition, a significant prolonged increase in inflation could negatively impact the cost of materials and components. Even if in some cases we are able to pass some or all such cost increases to customers by increasing the selling prices of our products, higher product prices may also result in a reduction in sales volumes. </w:t>
      </w:r>
    </w:p>
    <w:p>
      <w:pPr>
        <w:pStyle w:val="TextBody"/>
        <w:bidi w:val="0"/>
        <w:spacing w:before="160" w:after="0"/>
        <w:jc w:val="left"/>
        <w:rPr>
          <w:rFonts w:ascii="arial" w:hAnsi="arial"/>
          <w:sz w:val="20"/>
        </w:rPr>
      </w:pPr>
      <w:r>
        <w:rPr>
          <w:rFonts w:ascii="arial" w:hAnsi="arial"/>
          <w:sz w:val="20"/>
        </w:rPr>
        <w:t xml:space="preserve">Unforeseen end-of-life or unavailability of certain components, such as enzymes, could force us to purchase materials on the spot market at higher cost or require us to modify our product specifications to accommodate replacement components which could be costly or delay product shipments. If we were to experience a significant disruption in the supply of, or prolonged shortage of, critical components from any of our suppliers and could not procure the components from other sources, we would be unable to manufacture our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to ship such products to our customers in a timely fashion, which would adversely affect our sales, customer relations,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If we do not sustain or successfully manage our growth and anticipated growth, our business, financial condition, results of operations and prospects will be materially adversely affected. </w:t>
      </w:r>
    </w:p>
    <w:p>
      <w:pPr>
        <w:pStyle w:val="TextBody"/>
        <w:bidi w:val="0"/>
        <w:spacing w:before="160" w:after="0"/>
        <w:jc w:val="left"/>
        <w:rPr>
          <w:rFonts w:ascii="arial" w:hAnsi="arial"/>
          <w:sz w:val="20"/>
        </w:rPr>
      </w:pPr>
      <w:r>
        <w:rPr>
          <w:rFonts w:ascii="arial" w:hAnsi="arial"/>
          <w:sz w:val="20"/>
        </w:rPr>
        <w:t xml:space="preserve">We have experienced rapid organizational growth and we expect that future growth will place significant strains on our management, operational and manufacturing systems and processes, financial systems and internal controls and other aspects of our business. We intend to launch additional, or enhancements to, panels of assays and instruments in the future and build out our manufacturing capabilities. Further development and commercialization of our current and future products, including targeting additional disease areas and introducing systems with lower cost and throughput to make NULISA technology accessible to early-stage researchers and smaller labs, are key elements of our strategy. Expansion into new markets with less experienced users or into smaller labs with less funding could temporarily reduce average pull-through which may adversely impact our results of operations. </w:t>
      </w:r>
    </w:p>
    <w:p>
      <w:pPr>
        <w:pStyle w:val="TextBody"/>
        <w:bidi w:val="0"/>
        <w:spacing w:before="160" w:after="0"/>
        <w:jc w:val="left"/>
        <w:rPr>
          <w:rFonts w:ascii="arial" w:hAnsi="arial"/>
          <w:sz w:val="20"/>
        </w:rPr>
      </w:pPr>
      <w:r>
        <w:rPr>
          <w:rFonts w:ascii="arial" w:hAnsi="arial"/>
          <w:sz w:val="20"/>
        </w:rPr>
        <w:t xml:space="preserve">Developing and launching new products, innovating and improving our existing products and expanding our commercial organization have required us to hire and retain additional scientific, sales and marketing, software, manufacturing, distribution and quality assurance personnel. As a result, we have experienced rapid headcount growth from 136 employees as of December 31, 2024 to 222 employees as of December 31, 2025. As we have grown, our employees have become more geographically dispersed. We may face challenges integrating and developing our employee base, including as a result of certain of our employees working remotely, which may lead to increased attrition and the need for hiring. In addition, certain members of our management have not previously worked together for an extended period of time, do not have experience managing a public company or do not have experience managing a global business, which may affect how they manage our business. To effectively manage our business, we must continue to improve our systems and processes and continue to effectively integrate, expand, train and manage our personnel. As our organization continues to evolve, we may find it increasingly difficult to maintain the benefits of our corporate culture, including our ability to quickly develop and launch new and innovative products or versions. Additionally, by introducing systems with lower cost, our blended cost per instrument will be reduced and we risk introducing pricing pressure that could potentially negatively impact sales of our ARGO HT instrument. If we are unable to develop a lower cost instrument as efficiently as we expect, then higher than expected margins could cause our overall gross margin to decrease. Moreover, we may never be successful in achieving the development and manufacture of a new instrument at sufficiently lower cost to be marketable to the intendent future customer base. If we fail to sufficiently reduce our operating costs or grow our future net revenues, we could suffer operating losses that we may not be able to fund or sustain for extended period of time, if at all. </w:t>
      </w:r>
    </w:p>
    <w:p>
      <w:pPr>
        <w:pStyle w:val="TextBody"/>
        <w:bidi w:val="0"/>
        <w:spacing w:before="160" w:after="0"/>
        <w:jc w:val="left"/>
        <w:rPr>
          <w:rFonts w:ascii="arial" w:hAnsi="arial"/>
          <w:sz w:val="20"/>
        </w:rPr>
      </w:pPr>
      <w:r>
        <w:rPr>
          <w:rFonts w:ascii="arial" w:hAnsi="arial"/>
          <w:sz w:val="20"/>
        </w:rPr>
        <w:t xml:space="preserve">If we do not successfully manage our anticipated organizational growth, our business, financial condition and results of operations and prospects will be materially adversely affected. </w:t>
      </w:r>
    </w:p>
    <w:p>
      <w:pPr>
        <w:pStyle w:val="TextBody"/>
        <w:bidi w:val="0"/>
        <w:spacing w:before="160" w:after="0"/>
        <w:jc w:val="left"/>
        <w:rPr>
          <w:rFonts w:ascii="arial" w:hAnsi="arial"/>
          <w:b/>
          <w:i/>
          <w:sz w:val="20"/>
        </w:rPr>
      </w:pPr>
      <w:r>
        <w:rPr>
          <w:rFonts w:ascii="arial" w:hAnsi="arial"/>
          <w:b/>
          <w:i/>
          <w:sz w:val="20"/>
        </w:rPr>
        <w:t xml:space="preserve">Our results of operations could be materially adversely affected by fluctuations in foreign currency exchange rates. </w:t>
      </w:r>
    </w:p>
    <w:p>
      <w:pPr>
        <w:pStyle w:val="TextBody"/>
        <w:bidi w:val="0"/>
        <w:spacing w:before="160" w:after="0"/>
        <w:jc w:val="left"/>
        <w:rPr>
          <w:rFonts w:ascii="arial" w:hAnsi="arial"/>
          <w:sz w:val="20"/>
        </w:rPr>
      </w:pPr>
      <w:r>
        <w:rPr>
          <w:rFonts w:ascii="arial" w:hAnsi="arial"/>
          <w:sz w:val="20"/>
        </w:rPr>
        <w:t xml:space="preserve">Historically, most of our revenue has been denominated in U.S. dollars, although we have sold our products and services in local currency outside of the United States, principally the euro. For the years ended December 31, 2024 and 2025, approximately 12% and 26%, respectively, of our sales were denominated in currencies other than U.S. dollars. Our expenses are generally denominated in the currencies in which our operations are located. As our operations in countries outside of the United States grow, our results of operations and cash flows will become increasingly subject to fluctuations due to changes in foreign currency exchange rates, which could harm our business in the future. During periods of economic crises, foreign currencies may be devalued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significantly against the U.S. dollar, reducing our margins. In addition,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revenue and our results of operations. We do not currently maintain a program to hedge foreign currency exposures and even if in the future we implement a program to hedge such exposures, we may not be successful in mitigating the effects of fluctuations in foreign currency exchange rates. </w:t>
      </w:r>
    </w:p>
    <w:p>
      <w:pPr>
        <w:pStyle w:val="TextBody"/>
        <w:bidi w:val="0"/>
        <w:spacing w:before="160" w:after="0"/>
        <w:jc w:val="left"/>
        <w:rPr>
          <w:rFonts w:ascii="arial" w:hAnsi="arial"/>
          <w:sz w:val="20"/>
        </w:rPr>
      </w:pPr>
      <w:r>
        <w:rPr>
          <w:rFonts w:ascii="arial" w:hAnsi="arial"/>
          <w:sz w:val="20"/>
        </w:rPr>
        <w:t xml:space="preserve">Due to our exposure to currencies other than U.S. dollars, an increase in the value of certain currencies against the U.S. dollar could increase our costs by increasing labor and other costs that are denominated in local currency. There can be no assurance that any future hedging activities which are designed to partially offset this impact, will be successful. In addition, our currency hedging activities, if any, in the future, could themselves be subject to risk. These could include risks related to counterparty performance under future hedging contracts and risks related to currency fluctuations. </w:t>
      </w:r>
    </w:p>
    <w:p>
      <w:pPr>
        <w:pStyle w:val="TextBody"/>
        <w:bidi w:val="0"/>
        <w:spacing w:before="160" w:after="0"/>
        <w:jc w:val="left"/>
        <w:rPr>
          <w:rFonts w:ascii="arial" w:hAnsi="arial"/>
          <w:b/>
          <w:i/>
          <w:sz w:val="20"/>
        </w:rPr>
      </w:pPr>
      <w:r>
        <w:rPr>
          <w:rFonts w:ascii="arial" w:hAnsi="arial"/>
          <w:b/>
          <w:i/>
          <w:sz w:val="20"/>
        </w:rPr>
        <w:t xml:space="preserve">We depend on our key personnel and other highly qualified personnel, and if we are unable to recruit, train, retain and ensure the health and safety and engagement of our personnel, we may not achieve our goals. </w:t>
      </w:r>
    </w:p>
    <w:p>
      <w:pPr>
        <w:pStyle w:val="TextBody"/>
        <w:bidi w:val="0"/>
        <w:spacing w:before="160" w:after="0"/>
        <w:jc w:val="left"/>
        <w:rPr>
          <w:rFonts w:ascii="arial" w:hAnsi="arial"/>
          <w:sz w:val="20"/>
        </w:rPr>
      </w:pPr>
      <w:r>
        <w:rPr>
          <w:rFonts w:ascii="arial" w:hAnsi="arial"/>
          <w:sz w:val="20"/>
        </w:rPr>
        <w:t xml:space="preserve">Our future success depends on our ability to recruit, train, retain and motivate key personnel, including our senior management, research and development, manufacturing and operations, quality and regulatory affairs, clinical support, sales, customer service and marketing, engineering, data science, and other personnel providing critical functions. In particular, Dr. Luo, our Chief Executive Officer and co-founder, and Dr. Chen, our Chief Operating Officer and co-founder, are critical to our vision, strategic direction, culture and products, and the loss of these executives or other key technical personnel could adversely affect our business, results of operations and growth prospects. Competition for qualified personnel is intense, particularly in the San Francisco Bay area, and other technology and life sciences hubs where we recruit, including outside of the United States. As we grow, we may continue to make changes to our management team, which could make it difficult to execute on our business plans and strategies and may result in the loss of institutional knowledge. New hires, including executive hires, often require significant training and, in most cases, take significant time before they achieve full productivity. Our failure to successfully integrate our personnel into our business could adversely affect our business. Additionally, some of our employees work remotely and because of the challenges of working remotely, their full productivity requires different approaches to onboarding and managing. </w:t>
      </w:r>
    </w:p>
    <w:p>
      <w:pPr>
        <w:pStyle w:val="TextBody"/>
        <w:bidi w:val="0"/>
        <w:spacing w:before="160" w:after="0"/>
        <w:jc w:val="left"/>
        <w:rPr>
          <w:rFonts w:ascii="arial" w:hAnsi="arial"/>
          <w:sz w:val="20"/>
        </w:rPr>
      </w:pPr>
      <w:r>
        <w:rPr>
          <w:rFonts w:ascii="arial" w:hAnsi="arial"/>
          <w:sz w:val="20"/>
        </w:rPr>
        <w:t xml:space="preserve">We do not maintain key person life insurance for any of our employees. In the United States, our employees are employed on an at-will basis and may terminate their employment with little or no prior notice, and legal limitations on the enforceability of restrictive covenants, including non-competition and certain non-solicitation provisions, may impair our ability to retain employees or protect our business when employees depart. We have employees outside of the United States who are employed for a fixed-term, and require notice prior to termination. </w:t>
      </w:r>
    </w:p>
    <w:p>
      <w:pPr>
        <w:pStyle w:val="TextBody"/>
        <w:bidi w:val="0"/>
        <w:spacing w:before="160" w:after="0"/>
        <w:jc w:val="left"/>
        <w:rPr>
          <w:rFonts w:ascii="arial" w:hAnsi="arial"/>
          <w:sz w:val="20"/>
        </w:rPr>
      </w:pPr>
      <w:r>
        <w:rPr>
          <w:rFonts w:ascii="arial" w:hAnsi="arial"/>
          <w:sz w:val="20"/>
        </w:rPr>
        <w:t xml:space="preserve">Changes in U.S. immigration laws, regulations, policies or enforcement practices could restrain the flow of technical and professional talent into the United States and may inhibit our ability to hire or retain qualified personnel, and may cause existing employees to depart due to uncertainty or inability to maintain work authorization. Similar risks may arise in other jurisdictions in which we operate. Certain of our scientific personnel in the United States are qualified foreign nationals whose ability to live and work in the United States is contingent upon the continued availability of appropriate visas. We expect to continue to rely on foreign nationals to fill part of our recruiting needs. </w:t>
      </w:r>
    </w:p>
    <w:p>
      <w:pPr>
        <w:pStyle w:val="TextBody"/>
        <w:bidi w:val="0"/>
        <w:spacing w:before="160" w:after="0"/>
        <w:jc w:val="left"/>
        <w:rPr>
          <w:rFonts w:ascii="arial" w:hAnsi="arial"/>
          <w:sz w:val="20"/>
        </w:rPr>
      </w:pPr>
      <w:r>
        <w:rPr>
          <w:rFonts w:ascii="arial" w:hAnsi="arial"/>
          <w:sz w:val="20"/>
        </w:rPr>
        <w:t xml:space="preserve">Our continued success depends, in part, on attracting, retaining and motivating highly trained sales personnel, including individuals with the necessary scientific background and ability to understand our systems at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technical level to effectively identify and sell to potential new customers. In addition, the continued development of complementary software tools requires us to compete for highly trained software engineers in the San Francisco Bay area and elsewhere and for highly trained sales and customer service personnel globally. We also compete for qualified scientific personnel with other life sciences companies, academic institutions and research institutions. This competition affects both our ability to retain key employees and hire new ones. We also must comply with an increasingly complex array of employment, labor, wage and hour, pay transparency, health and safety, harassment, discrimination, leave and benefits and other workforce-related laws and regulations across multiple jurisdictions; failure, or perceived failure, to comply with such requirements could result in audits, investigations, disputes, penalties or litigation, and could harm our reputation and financial results. In order to be successful and build our framework for future growth, we must continue to execute and deliver on our initiatives as the workforce changes. We must also attract, retain, train and motivate key employees including highly qualified management, scientific, manufacturing, sales, marketing and other personnel who are critical to our business. Additionally, we compete with companies that may have greater financial resources than we do and early-stage companies that promise short-term growth opportunities. We may not be able to attract, retain, train or motivate qualified employees in the future and our inability to do so could materially harm our prospects,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Ensuring the health, safety and well-being of our employees is essential to our operations. We may incur increased costs or disruptions in connection with implementing and maintaining workplace health and safety measures, complying with evolving regulations and guidance, and addressing public health concerns. Any failure to maintain safe and compliant working environments across our facilities and for our distributed workforce could adversely affect our ability to attract and retain personnel and could expose us to liability. </w:t>
      </w:r>
    </w:p>
    <w:p>
      <w:pPr>
        <w:pStyle w:val="TextBody"/>
        <w:bidi w:val="0"/>
        <w:spacing w:before="160" w:after="0"/>
        <w:jc w:val="left"/>
        <w:rPr>
          <w:rFonts w:ascii="arial" w:hAnsi="arial"/>
          <w:b/>
          <w:i/>
          <w:sz w:val="20"/>
        </w:rPr>
      </w:pPr>
      <w:r>
        <w:rPr>
          <w:rFonts w:ascii="arial" w:hAnsi="arial"/>
          <w:b/>
          <w:i/>
          <w:sz w:val="20"/>
        </w:rPr>
        <w:t xml:space="preserve">If our facilities or our third-party manufacturer’s facilities become unavailable or inoperable, our research and development programs could be adversely impacted and manufacturing of our products could be interrupted. </w:t>
      </w:r>
    </w:p>
    <w:p>
      <w:pPr>
        <w:pStyle w:val="TextBody"/>
        <w:bidi w:val="0"/>
        <w:spacing w:before="160" w:after="0"/>
        <w:jc w:val="left"/>
        <w:rPr>
          <w:rFonts w:ascii="arial" w:hAnsi="arial"/>
          <w:sz w:val="20"/>
        </w:rPr>
      </w:pPr>
      <w:r>
        <w:rPr>
          <w:rFonts w:ascii="arial" w:hAnsi="arial"/>
          <w:sz w:val="20"/>
        </w:rPr>
        <w:t xml:space="preserve">Our and our third-party manufacturer’s facilities are vulnerable to natural disasters and catastrophic events. For example, our headquarters in Fremont, California is located near earthquake fault zones and are vulnerable to damage from earthquakes. Our facilities are vulnerable to other types of disasters, including fires, floods, infectious disease, epidemics or pandemics, power loss, conflict, war, civil unrest, communications failures and similar events. If any disaster or catastrophic event were to occur, our ability to operate our business would be seriously, or potentially completely, impaired. If our facilities or any of our third-party manufacturer’s facilities become unavailable or understaffed for any reason, we cannot provide assurances that we will be able to secure alternative manufacturing facilities with the necessary capabilities and equipment on acceptable terms, if at all. Additionally, potential issues with our ability to hire staff or the health and safety of our manufacturing staff could decrease the effectiveness of our manufacturing operations and adversely affect our business and results of operations. The inability to manufacture our products, combined with potential limited inventory of manufactured products, may result in the loss of customers or harm our reputation, and we may be unable to reestablish relationships with those customers in the future. Because certain of our consumables and the raw materials we use to manufacture consumables are perishable and must be kept in temperature controlled storage, the loss of power to our facilities, mechanical or other issues with our storage facilities or other events that impact our temperature controlled storage could result in the loss of some or all of such consumables and raw materials and we may not be able to replace them without disruption to our customers or at all. </w:t>
      </w:r>
    </w:p>
    <w:p>
      <w:pPr>
        <w:pStyle w:val="TextBody"/>
        <w:bidi w:val="0"/>
        <w:spacing w:before="160" w:after="0"/>
        <w:jc w:val="left"/>
        <w:rPr>
          <w:rFonts w:ascii="arial" w:hAnsi="arial"/>
          <w:sz w:val="20"/>
        </w:rPr>
      </w:pPr>
      <w:r>
        <w:rPr>
          <w:rFonts w:ascii="arial" w:hAnsi="arial"/>
          <w:sz w:val="20"/>
        </w:rPr>
        <w:t xml:space="preserve">A substantial percentage of our revenue comes from sales to institutions, whose research often requires long uninterrupted studies performed on a consistent basis over time; thus interruptions in our ability to supply consumables could be particularly damaging to these studies and our reputation. In addition, the budgetary planning and approval process for academic research programs can be lengthy and begin well in advance of the planned purchase of our products. If our products become unavailable during the planning process, researchers may use alternative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our research and development programs were disrupted by a disaster or catastrophe or for other reasons, the launch of new products could be significantly delayed and could adversely impact our ability to compete with other available products. If our or our third-party manufacturer’s capabilities are impaired, we may not be able to manufacture and ship our products in a timely manner, which would adversely affect our business. Although we possess insurance for damage to our property and the disruption of our business, this insurance may not be sufficient to cover all of our potential losses, may not cover every potential type of loss event (including earthquakes as we do not carry earthquake insurance coverage) and may not continue to be available to us on acceptable terms, or at all. </w:t>
      </w:r>
    </w:p>
    <w:p>
      <w:pPr>
        <w:pStyle w:val="TextBody"/>
        <w:bidi w:val="0"/>
        <w:spacing w:before="160" w:after="0"/>
        <w:jc w:val="left"/>
        <w:rPr>
          <w:rFonts w:ascii="arial" w:hAnsi="arial"/>
          <w:sz w:val="20"/>
        </w:rPr>
      </w:pPr>
      <w:r>
        <w:rPr>
          <w:rFonts w:ascii="arial" w:hAnsi="arial"/>
          <w:sz w:val="20"/>
        </w:rPr>
        <w:t xml:space="preserve">Costs or other factors related to our facilities and real estate ensuing from these and other risks related to our facilities and real estate may adversely impact our business results and financial condition. </w:t>
      </w:r>
    </w:p>
    <w:p>
      <w:pPr>
        <w:pStyle w:val="TextBody"/>
        <w:bidi w:val="0"/>
        <w:spacing w:before="160" w:after="0"/>
        <w:jc w:val="left"/>
        <w:rPr>
          <w:rFonts w:ascii="arial" w:hAnsi="arial"/>
          <w:b/>
          <w:i/>
          <w:sz w:val="20"/>
        </w:rPr>
      </w:pPr>
      <w:r>
        <w:rPr>
          <w:rFonts w:ascii="arial" w:hAnsi="arial"/>
          <w:b/>
          <w:i/>
          <w:sz w:val="20"/>
        </w:rPr>
        <w:t xml:space="preserve">If we fail to offer high-quality customer service or technical and applications support, our business and reputation could suffer. </w:t>
      </w:r>
    </w:p>
    <w:p>
      <w:pPr>
        <w:pStyle w:val="TextBody"/>
        <w:bidi w:val="0"/>
        <w:spacing w:before="160" w:after="0"/>
        <w:jc w:val="left"/>
        <w:rPr>
          <w:rFonts w:ascii="arial" w:hAnsi="arial"/>
          <w:sz w:val="20"/>
        </w:rPr>
      </w:pPr>
      <w:r>
        <w:rPr>
          <w:rFonts w:ascii="arial" w:hAnsi="arial"/>
          <w:sz w:val="20"/>
        </w:rPr>
        <w:t xml:space="preserve">We differentiate ourselves from our competition in part through our commitment to an exceptional customer experience. Accordingly, high-quality customer service is important for the growth of our business and any failure to maintain such standards of customer service, or a related market perception, could affect our ability to sell products to existing and prospective customers. Additionally, we believe our customer service team has a positive influence on recurring consumables revenue. Providing an exceptional customer experience requires significant time and resources from our customer service team, and failure to manage our customer service organization adequately or impacts on our ability to provide an exceptional customer experience may adversely impact our business results and financial condition. </w:t>
      </w:r>
    </w:p>
    <w:p>
      <w:pPr>
        <w:pStyle w:val="TextBody"/>
        <w:bidi w:val="0"/>
        <w:spacing w:before="160" w:after="0"/>
        <w:jc w:val="left"/>
        <w:rPr>
          <w:rFonts w:ascii="arial" w:hAnsi="arial"/>
          <w:sz w:val="20"/>
        </w:rPr>
      </w:pPr>
      <w:r>
        <w:rPr>
          <w:rFonts w:ascii="arial" w:hAnsi="arial"/>
          <w:sz w:val="20"/>
        </w:rPr>
        <w:t xml:space="preserve">Customers utilize our service teams for help with a variety of topics, including how to use our products efficiently, how to integrate our products into existing workflows and how to resolve technical, analysis and operational issues if and when they arise. As we introduce new products, we expect utilization of our customer service teams to increase. In particular, the introduction of new products or new versions that utilize different workflows or variations on existing workflows may require additional customer service efforts to ensure customers use such products correctly and efficiently. As we scale, we are investing in online training resources, including videos and quick reference guides, to onboard customers more efficiently and reduce the burden on our support teams. While these resources are designed to improve adoption and minimize training costs, we may need to continue enhancing our online and remote solutions, which could increase expenses. If customers do not effectively utilize these resources, we may need to expand our customer support staffing, resulting in higher operating costs. Also, as our business scales, we may need to engage third-party customer service providers, which could increase our costs and negatively impact the quality of the customer experience if such third parties are unable to provide service levels equivalent to ours. </w:t>
      </w:r>
    </w:p>
    <w:p>
      <w:pPr>
        <w:pStyle w:val="TextBody"/>
        <w:bidi w:val="0"/>
        <w:spacing w:before="160" w:after="0"/>
        <w:jc w:val="left"/>
        <w:rPr>
          <w:rFonts w:ascii="arial" w:hAnsi="arial"/>
          <w:sz w:val="20"/>
        </w:rPr>
      </w:pPr>
      <w:r>
        <w:rPr>
          <w:rFonts w:ascii="arial" w:hAnsi="arial"/>
          <w:sz w:val="20"/>
        </w:rPr>
        <w:t xml:space="preserve">The number of our customers has grown significantly and such growth, as well as any future growth, will put additional pressure on our customer service organization. We may be unable to hire qualified staff quickly enough or to the extent necessary to accommodate increases in demand. Moreover, as we continue to grow our operations and reach a global customer base, we need to be able to provide efficient customer service that meets our customers’ needs globally at scale. In geographies where we sell through distributors, we rely on those distributors to provide customer service. If these third-party distributors do not provide a high-quality customer experience, our business and reputation may suffer. </w:t>
      </w:r>
    </w:p>
    <w:p>
      <w:pPr>
        <w:pStyle w:val="TextBody"/>
        <w:bidi w:val="0"/>
        <w:spacing w:before="160" w:after="0"/>
        <w:jc w:val="left"/>
        <w:rPr>
          <w:rFonts w:ascii="arial" w:hAnsi="arial"/>
          <w:sz w:val="20"/>
        </w:rPr>
      </w:pPr>
      <w:r>
        <w:rPr>
          <w:rFonts w:ascii="arial" w:hAnsi="arial"/>
          <w:sz w:val="20"/>
        </w:rPr>
        <w:t xml:space="preserve">Additionally, 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ability to understand our technology at a technical level. To effectively support potential new customers and the expanding needs of current customers, we will need to substantially expand our technical support staff and develop our support/infrastructure and processes. If we are unable to attract, train or retain the number of highly qualified technical services personnel that our business needs, our business, financial condition and results of operations will suffer. </w:t>
      </w:r>
    </w:p>
    <w:p>
      <w:pPr>
        <w:pStyle w:val="TextBody"/>
        <w:bidi w:val="0"/>
        <w:spacing w:before="160" w:after="0"/>
        <w:jc w:val="left"/>
        <w:rPr>
          <w:rFonts w:ascii="arial" w:hAnsi="arial"/>
          <w:b/>
          <w:i/>
          <w:sz w:val="20"/>
        </w:rPr>
      </w:pPr>
      <w:r>
        <w:rPr>
          <w:rFonts w:ascii="arial" w:hAnsi="arial"/>
          <w:b/>
          <w:i/>
          <w:sz w:val="20"/>
        </w:rPr>
        <w:t xml:space="preserve">We do not have long-term contracts with customers, and a reduction in orders from a significant number of customers could reduce our sales and harm our results of operations. </w:t>
      </w:r>
    </w:p>
    <w:p>
      <w:pPr>
        <w:pStyle w:val="TextBody"/>
        <w:bidi w:val="0"/>
        <w:spacing w:before="160" w:after="0"/>
        <w:jc w:val="left"/>
        <w:rPr>
          <w:rFonts w:ascii="arial" w:hAnsi="arial"/>
          <w:sz w:val="20"/>
        </w:rPr>
      </w:pPr>
      <w:r>
        <w:rPr>
          <w:rFonts w:ascii="arial" w:hAnsi="arial"/>
          <w:sz w:val="20"/>
        </w:rPr>
        <w:t xml:space="preserve">We do not have significant long-term contracts with our customers, and our customer contracts generally do not contain minimum purchase requirements and the majority of our sales are on a purchase order basis. Therefore, our sales are subject to changes in demand from our customers. The level and timing of orders placed by our customers vary for a number of reasons, including individual customer strategies, availability of funding, the introduction of new technologies, the desire of our customers to reduce their exposure to any single supplier and general economic conditions. In addition, though we believe customers in our markets display a significant amount of loyalty to a particular product, we may not be able to renew a contract on favorable pricing terms if our competitors reduce their prices in order to procure business, or if a customer insists that we lower the price charged under the contract being renewed in order to retain the contract. In addition, certain of our customer contracts contain volume-based discount structures. If we increase the number of contracts we enter into with discounted pricing structures or if we enter into a contract with a customer on unfavorable terms, it may reduce our gross margins and harm our ability to negotiate future contracts with that customer or other customers. The loss of sales or the reduced profitability of such sales could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management uses certain key business metrics to evaluate our business, measure our performance, identify trends affecting our business, formulate financial projections and make strategic decisions and such metrics may not accurately reflect all of the aspects of our business needed to make such evaluations and decisions, particularly as our business continues to grow. </w:t>
      </w:r>
    </w:p>
    <w:p>
      <w:pPr>
        <w:pStyle w:val="TextBody"/>
        <w:bidi w:val="0"/>
        <w:spacing w:before="160" w:after="0"/>
        <w:jc w:val="left"/>
        <w:rPr>
          <w:rFonts w:ascii="arial" w:hAnsi="arial"/>
          <w:sz w:val="20"/>
        </w:rPr>
      </w:pPr>
      <w:r>
        <w:rPr>
          <w:rFonts w:ascii="arial" w:hAnsi="arial"/>
          <w:sz w:val="20"/>
        </w:rPr>
        <w:t xml:space="preserve">In addition to our consolidated financial results, our management regularly reviews a number of operating and financial metrics to evaluate our business, measure our performance, identify trends affecting our business, formulate financial projections and make strategic decisions. We believe that these metrics are representative of our current business; however, these metrics may not accurately reflect all aspects of our business, and we anticipate that these metrics may change or may be substituted for additional or different metrics as our business evolves and as we introduce new products and new versions of existing products. If our management fails to review other relevant information or change or substitute the key business metrics they review as our business evolves and we introduce new products or new versions of existing products, their ability to accurately formulate financial projections and make strategic decisions may be compromised and our business, financial condition, results of operations and prospects may be adversely impacted. </w:t>
      </w:r>
    </w:p>
    <w:p>
      <w:pPr>
        <w:pStyle w:val="TextBody"/>
        <w:bidi w:val="0"/>
        <w:spacing w:before="160" w:after="0"/>
        <w:jc w:val="left"/>
        <w:rPr>
          <w:rFonts w:ascii="arial" w:hAnsi="arial"/>
          <w:b/>
          <w:i/>
          <w:sz w:val="20"/>
        </w:rPr>
      </w:pPr>
      <w:r>
        <w:rPr>
          <w:rFonts w:ascii="arial" w:hAnsi="arial"/>
          <w:b/>
          <w:i/>
          <w:sz w:val="20"/>
        </w:rPr>
        <w:t xml:space="preserve">Investments and acquisitions could disrupt our business, cause dilution to our stockholders and otherwise adversely affect our financial condition and results of operations. </w:t>
      </w:r>
    </w:p>
    <w:p>
      <w:pPr>
        <w:pStyle w:val="TextBody"/>
        <w:bidi w:val="0"/>
        <w:spacing w:before="160" w:after="0"/>
        <w:jc w:val="left"/>
        <w:rPr>
          <w:rFonts w:ascii="arial" w:hAnsi="arial"/>
          <w:sz w:val="20"/>
        </w:rPr>
      </w:pPr>
      <w:r>
        <w:rPr>
          <w:rFonts w:ascii="arial" w:hAnsi="arial"/>
          <w:sz w:val="20"/>
        </w:rPr>
        <w:t xml:space="preserve">We regularly review investment, acquisition and technology licensing opportunities, and we may invest in or acquire additional real estate or additional businesses and legal entities to add specialized employees, products or technologies as well as pursue technology licenses or investments in complementary businesses. Any future transactions could adversely affect our business, financial condition and results of operations and expose us to many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increases in our expenses and reductions in our cash available for operations and other uses;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difficulties integrating acquired personnel, technologies and operations into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failure to realize anticipated benefits or synergies from such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unanticipated costs of or legal exposure related to complying with existing and future laws and regulations, including land use, antitrust, environmental or hazardous waste-related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disruption in our relationships with customers, distributors, manufacturers, suppliers or other third parties as a result of such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unanticipated liabilities related to acquired real estate or companies, including liabilities related to acquired intellectual property or litigation relating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diversion of management time and focus from operating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possible write-offs or impairment charges relating to acquired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potential higher taxes if our tax positions relating to certain acquisitions were challenged. </w:t>
            </w:r>
          </w:p>
        </w:tc>
      </w:tr>
    </w:tbl>
    <w:p>
      <w:pPr>
        <w:pStyle w:val="TextBody"/>
        <w:bidi w:val="0"/>
        <w:spacing w:before="160" w:after="0"/>
        <w:jc w:val="left"/>
        <w:rPr>
          <w:rFonts w:ascii="arial" w:hAnsi="arial"/>
          <w:sz w:val="20"/>
        </w:rPr>
      </w:pPr>
      <w:r>
        <w:rPr>
          <w:rFonts w:ascii="arial" w:hAnsi="arial"/>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Even if we identify a strategic transaction that we wish to pursue, we may be prohibited from consummating such transaction due to the terms of future indebtedness we may incur or due to circumstances outside our control including regulatory approval considerations. </w:t>
      </w:r>
    </w:p>
    <w:p>
      <w:pPr>
        <w:pStyle w:val="TextBody"/>
        <w:bidi w:val="0"/>
        <w:spacing w:before="160" w:after="0"/>
        <w:jc w:val="left"/>
        <w:rPr>
          <w:rFonts w:ascii="arial" w:hAnsi="arial"/>
          <w:sz w:val="20"/>
        </w:rPr>
      </w:pPr>
      <w:r>
        <w:rPr>
          <w:rFonts w:ascii="arial" w:hAnsi="arial"/>
          <w:sz w:val="20"/>
        </w:rPr>
        <w:t xml:space="preserve">Future investments,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investments, acquisitions or dispositions or the effect that any such transactions might have on our results of operation. </w:t>
      </w:r>
    </w:p>
    <w:p>
      <w:pPr>
        <w:pStyle w:val="TextBody"/>
        <w:bidi w:val="0"/>
        <w:spacing w:before="160" w:after="0"/>
        <w:jc w:val="left"/>
        <w:rPr>
          <w:rFonts w:ascii="arial" w:hAnsi="arial"/>
          <w:b/>
          <w:i/>
          <w:sz w:val="20"/>
        </w:rPr>
      </w:pPr>
      <w:r>
        <w:rPr>
          <w:rFonts w:ascii="arial" w:hAnsi="arial"/>
          <w:b/>
          <w:i/>
          <w:sz w:val="20"/>
        </w:rPr>
        <w:t xml:space="preserve">Seasonality may cause fluctuations in our revenue and results of operations. </w:t>
      </w:r>
    </w:p>
    <w:p>
      <w:pPr>
        <w:pStyle w:val="TextBody"/>
        <w:bidi w:val="0"/>
        <w:spacing w:before="160" w:after="0"/>
        <w:jc w:val="left"/>
        <w:rPr>
          <w:rFonts w:ascii="arial" w:hAnsi="arial"/>
          <w:sz w:val="20"/>
        </w:rPr>
      </w:pPr>
      <w:r>
        <w:rPr>
          <w:rFonts w:ascii="arial" w:hAnsi="arial"/>
          <w:sz w:val="20"/>
        </w:rPr>
        <w:t xml:space="preserve">We operate on a December 31st year end and believe that there are seasonal factors that may in the future cause sales of our products to vary on a quarterly or yearly basis and increase the magnitude of quarterly or annual fluctuations in our results of operations. We expect that this seasonality will result from a number of factors, including the procurement and budgeting cycles of many of our customers. For example, a significant portion of our customers rely on government funding and research grants, and certain customers have budget cycles that typically expire at year end. Given our limited history of commercial operations we may not be able to accurately predict these cycles. Our international customers also have different purchasing patterns due to procurement or budgeting cycles, holidays or other factors, which may result in a disproportionate amount of their purchasing activity occurring in specific periods. These factors may contribute in the future to substantial fluctuations in our quarterly results of operations. Because of these fluctuations, it is possible that in some quarters our results of operations will fall below the expectations of securities analysts or investors. If that happens, the market price of our common stock would likely decrease. These fluctuations, among other factors, also mean that our results of operations in any particular period may not be relied upon as an indication of future performance. Seasonal or cyclical variations in our sales may in the future become more or less pronounced over time, and may in the future materially affect, our business, financial condition, results of operations and prospects. Other fluctuations, including spikes in customer demand for our products, may also make it harder for us to distribute our products in a timely manner.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sales cycle is lengthy and variable, which makes it difficult for us to forecast revenue and other results of operations. </w:t>
      </w:r>
    </w:p>
    <w:p>
      <w:pPr>
        <w:pStyle w:val="TextBody"/>
        <w:bidi w:val="0"/>
        <w:spacing w:before="160" w:after="0"/>
        <w:jc w:val="left"/>
        <w:rPr>
          <w:rFonts w:ascii="arial" w:hAnsi="arial"/>
          <w:sz w:val="20"/>
        </w:rPr>
      </w:pPr>
      <w:r>
        <w:rPr>
          <w:rFonts w:ascii="arial" w:hAnsi="arial"/>
          <w:sz w:val="20"/>
        </w:rPr>
        <w:t xml:space="preserve">The sales cycle for our instruments and products is lengthy and variable because each sale generally represents a major capital expenditure and generally requires the approval of our customers’ senior management. This may contribute to substantial fluctuations in our quarterly or annual operating results, particularly during the periods in which our sales volume is low. Factors that may cause fluctuations in our quarterly or results of operations include, without limitation, market acceptance for our new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and changes or trends in new technologies and industry standards. Because of these fluctuations, it is likely that in some future quarters our results of operations will fall below the expectations of securities analysts or investors. If that happens, the market price of our common stock would likely decrease. Such fluctuations also mean that investors may not be able to rely on our results of operations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 </w:t>
      </w:r>
    </w:p>
    <w:p>
      <w:pPr>
        <w:pStyle w:val="TextBody"/>
        <w:bidi w:val="0"/>
        <w:spacing w:before="160" w:after="0"/>
        <w:jc w:val="left"/>
        <w:rPr>
          <w:rFonts w:ascii="arial" w:hAnsi="arial"/>
          <w:b/>
          <w:i/>
          <w:sz w:val="20"/>
        </w:rPr>
      </w:pPr>
      <w:r>
        <w:rPr>
          <w:rFonts w:ascii="arial" w:hAnsi="arial"/>
          <w:b/>
          <w:i/>
          <w:sz w:val="20"/>
        </w:rPr>
        <w:t xml:space="preserve">Our reliance on distributors for sales of our products in certain geographies outside of the United States could limit or prevent us from selling our products and impact our revenue. </w:t>
      </w:r>
    </w:p>
    <w:p>
      <w:pPr>
        <w:pStyle w:val="TextBody"/>
        <w:bidi w:val="0"/>
        <w:spacing w:before="160" w:after="0"/>
        <w:jc w:val="left"/>
        <w:rPr>
          <w:rFonts w:ascii="arial" w:hAnsi="arial"/>
          <w:sz w:val="20"/>
        </w:rPr>
      </w:pPr>
      <w:r>
        <w:rPr>
          <w:rFonts w:ascii="arial" w:hAnsi="arial"/>
          <w:sz w:val="20"/>
        </w:rPr>
        <w:t xml:space="preserve">We sell our products in Australia, portions of Eastern Europe, India, Japan, Singapore and South Korea through third-party distributors.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that such partners will agree to our terms and conditions of sale or that we will be able to enter into such arrangements on favorable terms. Additionally, excess inventory held by our distributors may reduce or delay purchases by such distributors. </w:t>
      </w:r>
    </w:p>
    <w:p>
      <w:pPr>
        <w:pStyle w:val="TextBody"/>
        <w:bidi w:val="0"/>
        <w:spacing w:before="160" w:after="0"/>
        <w:jc w:val="left"/>
        <w:rPr>
          <w:rFonts w:ascii="arial" w:hAnsi="arial"/>
          <w:sz w:val="20"/>
        </w:rPr>
      </w:pPr>
      <w:r>
        <w:rPr>
          <w:rFonts w:ascii="arial" w:hAnsi="arial"/>
          <w:sz w:val="20"/>
        </w:rPr>
        <w:t xml:space="preserve">Our distribution relationships are non-exclusive and allow the distributors to sell other products in their respective territories, while some of them provide the distributor exclusive rights to sell our products in that territory for a period of time. As such, our distributors may not commit the necessary resources to market our products to the level of our expectations or may choose to favor marketing the products of our competitors. If current or future distributors do not or are unable to perform adequately or if we are unable to enter into effective arrangements with distributors in particular geographic areas, our revenues could be significantly impacted. Additionally, our business, financial condition and results of operations could be materially and adversely affected if we are unsuccessful in selling directly to customers who previously purchased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products from third-party distributors or if our efforts in certain regions to sell directly to certain customers previously served by our distributors negatively impacts our relationships with and the performance of our distributors in such regions or elsewhere. </w:t>
      </w:r>
    </w:p>
    <w:p>
      <w:pPr>
        <w:pStyle w:val="TextBody"/>
        <w:bidi w:val="0"/>
        <w:spacing w:before="160" w:after="0"/>
        <w:jc w:val="left"/>
        <w:rPr>
          <w:rFonts w:ascii="arial" w:hAnsi="arial"/>
          <w:b/>
          <w:i/>
          <w:sz w:val="20"/>
        </w:rPr>
      </w:pPr>
      <w:r>
        <w:rPr>
          <w:rFonts w:ascii="arial" w:hAnsi="arial"/>
          <w:b/>
          <w:i/>
          <w:sz w:val="20"/>
        </w:rPr>
        <w:t xml:space="preserve">AI and machine learning technologies may expose us to significant risks, including development and deployment challenges, regulatory uncertainties, competition for investor research and potentially hard-to-predict changes to our business, which could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We use artificial intelligence (“AI”), machine learning and automated decision-making technologies (collectively, “AI Technologies”) in our business to realize operational efficiencies in day-to-day business operations, including but not limited to our software development efforts. If we fail to keep pace with rapidly evolving AI Technologies, especially in the medical device industry, our competitive position and business results may suffer. We proactively investigate opportunities to increase accessibility to our statistical software package utilizing AI and modern architecture design patterns through modern context protocols and enhance our software offerings via integrating advanced machine learning algorithms and generative AI models to enable deeper biological insights from increasingly large NULISA datasets, and are making targeted investments in this area. </w:t>
      </w:r>
    </w:p>
    <w:p>
      <w:pPr>
        <w:pStyle w:val="TextBody"/>
        <w:bidi w:val="0"/>
        <w:spacing w:before="160" w:after="0"/>
        <w:jc w:val="left"/>
        <w:rPr>
          <w:rFonts w:ascii="arial" w:hAnsi="arial"/>
          <w:sz w:val="20"/>
        </w:rPr>
      </w:pPr>
      <w:r>
        <w:rPr>
          <w:rFonts w:ascii="arial" w:hAnsi="arial"/>
          <w:sz w:val="20"/>
        </w:rPr>
        <w:t xml:space="preserve">We expect increased investment will be required in the future to continuously improve our use of AI Technologies. As with many technological innovations, there are significant risks involved in developing, maintaining and deploying these technologies (including as a result of AI-generated content, analysis or recommendations being deficient, other competitors moving more quickly or effectively to adopt AI capabilities, or our use of AI increasing regulatory or cybersecurity risks) and there can be no assurance that the usage of or our investments in such technologies will always enhance our products or services or be beneficial to our business, including our efficiency or profitability. </w:t>
      </w:r>
    </w:p>
    <w:p>
      <w:pPr>
        <w:pStyle w:val="TextBody"/>
        <w:bidi w:val="0"/>
        <w:spacing w:before="160" w:after="0"/>
        <w:jc w:val="left"/>
        <w:rPr>
          <w:rFonts w:ascii="arial" w:hAnsi="arial"/>
          <w:sz w:val="20"/>
        </w:rPr>
      </w:pPr>
      <w:r>
        <w:rPr>
          <w:rFonts w:ascii="arial" w:hAnsi="arial"/>
          <w:sz w:val="20"/>
        </w:rPr>
        <w:t xml:space="preserve">Further, the regulatory framework for AI Technologies is rapidly evolving as several jurisdictions around the globe, including Europe and certain U.S. states, have proposed, enacted, or are considering laws and regulations governing the development and use of AI Technologies, such as the EU’s AI Act, the Colorado Artificial Intelligence Act, California Bot Disclosure Law, the Utah Artificial Intelligence Policy Act and the CCPA regulations on automated decision-making Technology which may also increase the burden and cost of research, development and compliance. Likewise in the U.S. federal regulators have issued guidance affecting the use of AI in regulated sectors. The FDA, for example, also issued guidance on the use of AI in medical devices, requiring detailed risk management and review processes to obtain marketing authorizations.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w:t>
      </w:r>
    </w:p>
    <w:p>
      <w:pPr>
        <w:pStyle w:val="TextBody"/>
        <w:bidi w:val="0"/>
        <w:spacing w:before="160" w:after="0"/>
        <w:jc w:val="left"/>
        <w:rPr>
          <w:rFonts w:ascii="arial" w:hAnsi="arial"/>
          <w:sz w:val="20"/>
        </w:rPr>
      </w:pPr>
      <w:r>
        <w:rPr>
          <w:rFonts w:ascii="arial" w:hAnsi="arial"/>
          <w:sz w:val="20"/>
        </w:rPr>
        <w:t xml:space="preserve">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the well as other factors that could adversely affect our reputation, as the well as our business, operating results, and financial condition. Additionally, existing laws and regulations may be interpreted in ways that could affect the operation of our AI Technologies, or could be rescinded or amended as new administrations take differing approaches to evolving AI Technologies. For example, countries and states are applying their data and consumer protection laws to AI Technologies, and particularly generative AI and interactive chatbots. Additionally, certain privacy laws extend rights to consumers (such as the right to delete certain personal data) and regulate automated decision making.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 </w:t>
      </w:r>
    </w:p>
    <w:p>
      <w:pPr>
        <w:pStyle w:val="TextBody"/>
        <w:bidi w:val="0"/>
        <w:spacing w:before="160" w:after="0"/>
        <w:jc w:val="left"/>
        <w:rPr>
          <w:rFonts w:ascii="arial" w:hAnsi="arial"/>
          <w:sz w:val="20"/>
        </w:rPr>
      </w:pPr>
      <w:r>
        <w:rPr>
          <w:rFonts w:ascii="arial" w:hAnsi="arial"/>
          <w:sz w:val="20"/>
        </w:rPr>
        <w:t xml:space="preserve">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Any actual or perceived failure to comply with such laws and regulations,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Further, any sensitive information (including confidential, competitive, proprietary or personal data) that we input into a third-party generative AI Technology could be leaked or disclosed to others, including if sensitive information is used to train the third parties’ AI Technology. </w:t>
      </w:r>
    </w:p>
    <w:p>
      <w:pPr>
        <w:pStyle w:val="TextBody"/>
        <w:bidi w:val="0"/>
        <w:spacing w:before="160" w:after="0"/>
        <w:jc w:val="left"/>
        <w:rPr>
          <w:rFonts w:ascii="arial" w:hAnsi="arial"/>
          <w:sz w:val="20"/>
        </w:rPr>
      </w:pPr>
      <w:r>
        <w:rPr>
          <w:rFonts w:ascii="arial" w:hAnsi="arial"/>
          <w:sz w:val="20"/>
        </w:rPr>
        <w:t xml:space="preserve">Moreover, AI Technologies models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all or any of which could cause the performance of our products, services and business, as well as our reputation, to suffer or incur liability under contractual breach allegations or civil claims. We use AI Technologies’ outputs in the ordinary course of business and may use such outputs to make certain decisions. Due to these potential inaccuracies or flaws, the outputs could be biased and could lead us to make decisions that could bias certain individuals (or classes of individuals) and adversely impact their rights or employment. </w:t>
      </w:r>
    </w:p>
    <w:p>
      <w:pPr>
        <w:pStyle w:val="TextBody"/>
        <w:bidi w:val="0"/>
        <w:spacing w:before="160" w:after="0"/>
        <w:jc w:val="left"/>
        <w:rPr>
          <w:rFonts w:ascii="arial" w:hAnsi="arial"/>
          <w:sz w:val="20"/>
        </w:rPr>
      </w:pPr>
      <w:r>
        <w:rPr>
          <w:rFonts w:ascii="arial" w:hAnsi="arial"/>
          <w:sz w:val="20"/>
        </w:rPr>
        <w:t xml:space="preserve">Additionally, in recent years both public and private investment in AI Technologies has increased substantially, and because investment markets and investor attention are finite, focus of the investment community on opportunities related to AI Technologies may divert investor attention and resources away from us and our industry. Further, in the future AI Technologies may meaningfully change fundamental aspects of our business including, for example, our cost structure, how we sell our products, how our customers interact with our products, or how customers or potential customers conduct their experiments. The ways in which AI Technologies could affect us are uncertain and difficult to predict at present and in the future may significantly impact our business, results of operations and financial condition. </w:t>
      </w:r>
    </w:p>
    <w:p>
      <w:pPr>
        <w:pStyle w:val="TextBody"/>
        <w:bidi w:val="0"/>
        <w:spacing w:before="160" w:after="0"/>
        <w:jc w:val="left"/>
        <w:rPr>
          <w:rFonts w:ascii="arial" w:hAnsi="arial"/>
          <w:b/>
          <w:i/>
          <w:sz w:val="20"/>
        </w:rPr>
      </w:pPr>
      <w:r>
        <w:rPr>
          <w:rFonts w:ascii="arial" w:hAnsi="arial"/>
          <w:b/>
          <w:i/>
          <w:sz w:val="20"/>
        </w:rPr>
        <w:t xml:space="preserve">Our indebtedness may impair our financial and operating flexibility. </w:t>
      </w:r>
    </w:p>
    <w:p>
      <w:pPr>
        <w:pStyle w:val="TextBody"/>
        <w:bidi w:val="0"/>
        <w:spacing w:before="160" w:after="0"/>
        <w:jc w:val="left"/>
        <w:rPr>
          <w:rFonts w:ascii="arial" w:hAnsi="arial"/>
          <w:sz w:val="20"/>
        </w:rPr>
      </w:pPr>
      <w:r>
        <w:rPr>
          <w:rFonts w:ascii="arial" w:hAnsi="arial"/>
          <w:sz w:val="20"/>
        </w:rPr>
        <w:t xml:space="preserve">Our Loan and Security Agreement with Silicon Valley Bank, a division of First Citizens Bank (“SVB”), dated July 11, 2024, as amended by that certain Consent and First Amendment to Loan and Security Agreement dated as of March 13, 2025 and that certain Second Amendment to Loan and Security Agreement dated as of September 19, 2025 (the “SVB Loan Agreement”) provides for up to $65 million of term loans and a $10 million revolving asset-backed credit facility. As of December 31, 2025, $10 million of principal term loan borrowings were outstanding. As of December 31, 2025, revolving loan borrowings of up to $10 million and an additional term loan borrowings of up to $40 million were available to be drawn, subject to certain conditions. The SVB Loan Agreement contains affirmative and negative covenants, including a covenant that could require us to maintain minimum revenue over specified periods of time and covenants that restrict, among other things, our ability to dispose of assets, change our business, management, ownership or business locations, enter into mergers or acquisitions, incur additional indebtedness or encumber any of our assets. Borrowings under the SVB Loan Agreement are secured by substantially all of our assets, excluding our intellectual property but including the proceeds from the sale of any of our intellectual property and also a negative pledge arrangement whereby we may not encumber our intellectual property without prior lender consent. These restrictions could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limit our operational flexibility and the need to make principal and interest payments on our debt will reduce our ability to fund other aspects of our business, such as our research and development program. Our ability to make principal and interest payments on our indebtedness will depend on our ability to generate cash. If we default under the SVB Loan Agreement and if the default is not cured or waived, the lender could terminate its commitments to lend to us and cause any amounts outstanding to be payable immediately. Under certain circumstances, the lender could also exercise its rights with respect to the collateral securing such loans. Moreover, any such default would limit our ability to obtain additional financing, which may have an adverse effect on our cash flow and liquidity. </w:t>
      </w:r>
    </w:p>
    <w:p>
      <w:pPr>
        <w:pStyle w:val="TextBody"/>
        <w:bidi w:val="0"/>
        <w:spacing w:before="160" w:after="0"/>
        <w:jc w:val="left"/>
        <w:rPr>
          <w:rFonts w:ascii="arial" w:hAnsi="arial"/>
          <w:sz w:val="20"/>
        </w:rPr>
      </w:pPr>
      <w:r>
        <w:rPr>
          <w:rFonts w:ascii="arial" w:hAnsi="arial"/>
          <w:sz w:val="20"/>
        </w:rPr>
        <w:t xml:space="preserve">We may incur additional indebtedness in the future. The debt instruments governing such indebtedness could contain provisions that are as, or more, restrictive than our existing debt instruments. If we incur additional debt, a greater portion of our cash flows may be needed to satisfy our debt service obligations. While we do not anticipate that we will need to raise additional financing in the future to fund our operations, in the event that additional financing is required, we may not be able to raise it on terms acceptable to us or at all. As a result, we would be more vulnerable to general adverse economic, industry and capital markets conditions in addition to the risks associated with indebtedness described above. </w:t>
      </w:r>
    </w:p>
    <w:p>
      <w:pPr>
        <w:pStyle w:val="TextBody"/>
        <w:bidi w:val="0"/>
        <w:spacing w:before="320" w:after="0"/>
        <w:jc w:val="left"/>
        <w:rPr>
          <w:rFonts w:ascii="arial" w:hAnsi="arial"/>
          <w:b/>
          <w:sz w:val="24"/>
        </w:rPr>
      </w:pPr>
      <w:r>
        <w:rPr>
          <w:rFonts w:ascii="arial" w:hAnsi="arial"/>
          <w:b/>
          <w:sz w:val="24"/>
        </w:rPr>
        <w:t xml:space="preserve">Risks related to our regulatory environment and taxation </w:t>
      </w:r>
    </w:p>
    <w:p>
      <w:pPr>
        <w:pStyle w:val="TextBody"/>
        <w:bidi w:val="0"/>
        <w:spacing w:before="160" w:after="0"/>
        <w:jc w:val="left"/>
        <w:rPr>
          <w:rFonts w:ascii="arial" w:hAnsi="arial"/>
          <w:b/>
          <w:i/>
          <w:sz w:val="20"/>
        </w:rPr>
      </w:pPr>
      <w:r>
        <w:rPr>
          <w:rFonts w:ascii="arial" w:hAnsi="arial"/>
          <w:b/>
          <w:i/>
          <w:sz w:val="20"/>
        </w:rPr>
        <w:t xml:space="preserve">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make certain of our products available to customers as research use only (“RUO”) products. Accordingly, our products are labeled as RUO and are not intended for clinical diagnostic use. In the United States, RUO products are regulated by the FDA as in vitro diagnostic (“IVD”) products in the laboratory research phase of development that are being shipped or delivered for an investigation that is not subject to the FDA’s investigational device exemption requirements. Although medical devices, including IVDs, are subject to stringent FDA oversight, IVD products that are intended for RUO and are labeled as RUO are exempt from compliance with most FDA requirements, including premarket review and marketing authorization, manufacturing requirements, and others. A product labeled RUO but which is actually intended for clinical diagnostic use may be viewed by the FDA as adulterated and misbranded under the Federal Food, Drug, and Cosmetic Act (“FDC Act”), and subject to FDA enforcement action. The FDA has indicated that when determining the intended use of a product labeled RUO, the FDA will consider the totality of the circumstances surrounding distribution and use of the product, including how the product is marketed and to whom. If the FDA asserts that we are improperly marketing our products as RUO or otherwise asserts that we do not comply with applicable requirements, the FDA may proceed with an enforcement action that could require us to cease marketing any commercially marketed products (e.g., those that are marketed as RUO) until such marketing authorization is obtained. Such premarket review processes are expensive, time-consuming and uncertain; our efforts may never result in any marketing authorization from FDA for our products; and failure by us to obtain or comply with such marketing authorizations could have an adverse effect on our business, financial condition or results of operations. There can be no assurance that we will be able to obtain such marketing authorization or that FDA would agree to the labeling we would propose as part of our submission, and therefore the claims FDA authorizes could be different than the claims we have made or intend to make for such products. There can be no assurance that such claims will be adequate to support continued adoption of and reimbursement for our tests. </w:t>
      </w:r>
    </w:p>
    <w:p>
      <w:pPr>
        <w:pStyle w:val="TextBody"/>
        <w:bidi w:val="0"/>
        <w:spacing w:before="160" w:after="0"/>
        <w:jc w:val="left"/>
        <w:rPr>
          <w:rFonts w:ascii="arial" w:hAnsi="arial"/>
          <w:sz w:val="20"/>
        </w:rPr>
      </w:pPr>
      <w:r>
        <w:rPr>
          <w:rFonts w:ascii="arial" w:hAnsi="arial"/>
          <w:sz w:val="20"/>
        </w:rPr>
        <w:t xml:space="preserve">In the EU, IVD products are governed by Regulation (EU) No 2017/746 (“EU IVDR”) and subject to stringent requirements. However, the EU IVDR specifically excludes RUO products which are intended to be used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research purposes only, and without any medical objective, are excluded from the scope of the Regulation. RUOs are also expressly distinguished from devices intended to be used in a study undertaken to establish or confirm the analytical or clinical performance of a device which are also subject to specific requirements under the EU IVDR. A material intended for RUO, without any medical purpose or objective, is therefore not considered as an IVD as defined by the EU IVDR and is not subject to compliance with the related requirements. </w:t>
      </w:r>
    </w:p>
    <w:p>
      <w:pPr>
        <w:pStyle w:val="TextBody"/>
        <w:bidi w:val="0"/>
        <w:spacing w:before="160" w:after="0"/>
        <w:jc w:val="left"/>
        <w:rPr>
          <w:rFonts w:ascii="arial" w:hAnsi="arial"/>
          <w:sz w:val="20"/>
        </w:rPr>
      </w:pPr>
      <w:r>
        <w:rPr>
          <w:rFonts w:ascii="arial" w:hAnsi="arial"/>
          <w:sz w:val="20"/>
        </w:rPr>
        <w:t xml:space="preserve">However, some products may be subject to tighter requirements in the EU. For example, in the EU, the EU IVDR does not specifically address the regulation of products falling within the description of “laboratory developed tests”, which may qualify as IVDs and be required to comply with the requirements of the EU IVDR in order to be placed on the market or put into service in the EU. Depending on the product in question, other regulations may be applicable to the RUO products. </w:t>
      </w:r>
    </w:p>
    <w:p>
      <w:pPr>
        <w:pStyle w:val="TextBody"/>
        <w:bidi w:val="0"/>
        <w:spacing w:before="160" w:after="0"/>
        <w:jc w:val="left"/>
        <w:rPr>
          <w:rFonts w:ascii="arial" w:hAnsi="arial"/>
          <w:b/>
          <w:i/>
          <w:sz w:val="20"/>
        </w:rPr>
      </w:pPr>
      <w:r>
        <w:rPr>
          <w:rFonts w:ascii="arial" w:hAnsi="arial"/>
          <w:b/>
          <w:i/>
          <w:sz w:val="20"/>
        </w:rPr>
        <w:t xml:space="preserve">Failure to timely obtain necessary marketing authorizations for our future products that are intended for clinical or diagnostic uses may have a material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intend to develop products that are intended for clinical or diagnostic use, such as ARGO HT/DX, which will be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review and marketing authorization; recordkeeping procedures; advertising and promotion; corrections and removals (recalls); post-market surveillance and adverse event reporting, including reporting of deaths or serious injuries and malfunctions that, if they were to recur, could lead to death or serious injury; post-market studies; and product import and export. In the United States, before we can market a new medical device, or a new use of, new claim for or a significant modification to an existing product medical device that is not exempt from premarket review requirements or is not subject to an established FDA enforcement discretion policy, we must first receive marketing authorization for the product from FDA either through clearance under Section 510(k) of the FDC Act, approval of a premarket approval (“PMA”) application from the FDA, or grant of a </w:t>
      </w:r>
      <w:r>
        <w:rPr>
          <w:rFonts w:ascii="arial" w:hAnsi="arial"/>
          <w:i/>
          <w:sz w:val="20"/>
        </w:rPr>
        <w:t>de novo</w:t>
      </w:r>
      <w:r>
        <w:rPr>
          <w:rFonts w:ascii="arial" w:hAnsi="arial"/>
          <w:sz w:val="20"/>
        </w:rPr>
        <w:t xml:space="preserve"> classification request from the FDA, unless an exemption applies. </w:t>
      </w:r>
    </w:p>
    <w:p>
      <w:pPr>
        <w:pStyle w:val="TextBody"/>
        <w:bidi w:val="0"/>
        <w:spacing w:before="160" w:after="0"/>
        <w:jc w:val="left"/>
        <w:rPr>
          <w:rFonts w:ascii="arial" w:hAnsi="arial"/>
          <w:sz w:val="20"/>
        </w:rPr>
      </w:pPr>
      <w:r>
        <w:rPr>
          <w:rFonts w:ascii="arial" w:hAnsi="arial"/>
          <w:sz w:val="20"/>
        </w:rPr>
        <w:t xml:space="preserve">In the 510(k) clearance process, before a device may be marketed, the FDA must determine that a proposed device is “substantially equivalent” to a “predicate” device (i.e., a legally marketed device), which includes a device that has been previously cleared through the 510(k) process, a device that was legally marketed prior to May 28, 1976 (pre-amendments device), or a device that was originally on the U.S. market pursuant to an approved PMA and later down-classified.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w:t>
      </w:r>
    </w:p>
    <w:p>
      <w:pPr>
        <w:pStyle w:val="TextBody"/>
        <w:bidi w:val="0"/>
        <w:spacing w:before="160" w:after="0"/>
        <w:jc w:val="left"/>
        <w:rPr>
          <w:rFonts w:ascii="arial" w:hAnsi="arial"/>
          <w:sz w:val="20"/>
        </w:rPr>
      </w:pPr>
      <w:r>
        <w:rPr>
          <w:rFonts w:ascii="arial" w:hAnsi="arial"/>
          <w:sz w:val="20"/>
        </w:rPr>
        <w:t xml:space="preserve">In the de novo classification process, a manufacturer whose device of a new type under the FDC Act is automatically classified as Class III and would otherwise require the submission and approval of a PMA prior to marketing is able to request down-classification of the device to Class I or Class II on the basis that the device presents a low or moderate risk. If the FDA grants the </w:t>
      </w:r>
      <w:r>
        <w:rPr>
          <w:rFonts w:ascii="arial" w:hAnsi="arial"/>
          <w:i/>
          <w:sz w:val="20"/>
        </w:rPr>
        <w:t xml:space="preserve">de novo </w:t>
      </w:r>
      <w:r>
        <w:rPr>
          <w:rFonts w:ascii="arial" w:hAnsi="arial"/>
          <w:sz w:val="20"/>
        </w:rPr>
        <w:t xml:space="preserve">classification request, the requester will receive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authorization to market the device. This device type may be used subsequently as a predicate device for future 510(k) submissions. </w:t>
      </w:r>
    </w:p>
    <w:p>
      <w:pPr>
        <w:pStyle w:val="TextBody"/>
        <w:bidi w:val="0"/>
        <w:spacing w:before="160" w:after="0"/>
        <w:jc w:val="left"/>
        <w:rPr>
          <w:rFonts w:ascii="arial" w:hAnsi="arial"/>
          <w:sz w:val="20"/>
        </w:rPr>
      </w:pPr>
      <w:r>
        <w:rPr>
          <w:rFonts w:ascii="arial" w:hAnsi="arial"/>
          <w:sz w:val="20"/>
        </w:rPr>
        <w:t xml:space="preserve">The PMA approval, 510(k) clearance and </w:t>
      </w:r>
      <w:r>
        <w:rPr>
          <w:rFonts w:ascii="arial" w:hAnsi="arial"/>
          <w:i/>
          <w:sz w:val="20"/>
        </w:rPr>
        <w:t xml:space="preserve">de novo </w:t>
      </w:r>
      <w:r>
        <w:rPr>
          <w:rFonts w:ascii="arial" w:hAnsi="arial"/>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 submission for 510(k) clearance or a </w:t>
      </w:r>
      <w:r>
        <w:rPr>
          <w:rFonts w:ascii="arial" w:hAnsi="arial"/>
          <w:i/>
          <w:sz w:val="20"/>
        </w:rPr>
        <w:t xml:space="preserve">de novo </w:t>
      </w:r>
      <w:r>
        <w:rPr>
          <w:rFonts w:ascii="arial" w:hAnsi="arial"/>
          <w:sz w:val="20"/>
        </w:rPr>
        <w:t xml:space="preserve">classification request. Despite the time, effort and cost, a device may not obtain marketing authorization by the FDA.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 </w:t>
      </w:r>
    </w:p>
    <w:p>
      <w:pPr>
        <w:pStyle w:val="TextBody"/>
        <w:bidi w:val="0"/>
        <w:spacing w:before="160" w:after="0"/>
        <w:jc w:val="left"/>
        <w:rPr>
          <w:rFonts w:ascii="arial" w:hAnsi="arial"/>
          <w:sz w:val="20"/>
        </w:rPr>
      </w:pPr>
      <w:r>
        <w:rPr>
          <w:rFonts w:ascii="arial" w:hAnsi="arial"/>
          <w:sz w:val="20"/>
        </w:rPr>
        <w:t xml:space="preserve">In the United States, any modification to a medical device for which we have obtained 510(k) clearance may require us to submit a new 510(k) premarket notification and obtain clearance, to submit a PMA and obtain FDA approval, or to submit a </w:t>
      </w:r>
      <w:r>
        <w:rPr>
          <w:rFonts w:ascii="arial" w:hAnsi="arial"/>
          <w:i/>
          <w:sz w:val="20"/>
        </w:rPr>
        <w:t xml:space="preserve">de novo </w:t>
      </w:r>
      <w:r>
        <w:rPr>
          <w:rFonts w:ascii="arial" w:hAnsi="arial"/>
          <w:sz w:val="20"/>
        </w:rPr>
        <w:t xml:space="preserve">request and obtain FDA’s grant of the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marketing authorizations are necessary. </w:t>
      </w:r>
    </w:p>
    <w:p>
      <w:pPr>
        <w:pStyle w:val="TextBody"/>
        <w:bidi w:val="0"/>
        <w:spacing w:before="160" w:after="0"/>
        <w:jc w:val="left"/>
        <w:rPr>
          <w:rFonts w:ascii="arial" w:hAnsi="arial"/>
          <w:sz w:val="20"/>
        </w:rPr>
      </w:pPr>
      <w:r>
        <w:rPr>
          <w:rFonts w:ascii="arial" w:hAnsi="arial"/>
          <w:sz w:val="20"/>
        </w:rPr>
        <w:t xml:space="preserve">The FDA can delay, limit or deny marketing authorization of a device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inability to demonstrate to the satisfaction of the FDA that our products are substantially equivalent to a predicate device or are safe and effective for their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disagreement of the FDA with the design or implementation of clinical trials or the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serious and unexpected adverse device effects experienced by participants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data from preclinical studies and clinical trials may be insufficient to support clearance, </w:t>
            </w:r>
            <w:r>
              <w:rPr>
                <w:rFonts w:ascii="arial" w:hAnsi="arial"/>
                <w:i/>
                <w:sz w:val="20"/>
              </w:rPr>
              <w:t>de novo</w:t>
            </w:r>
            <w:r>
              <w:rPr>
                <w:rFonts w:ascii="arial" w:hAnsi="arial"/>
                <w:sz w:val="20"/>
              </w:rPr>
              <w:t xml:space="preserve"> classification, or approval, where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inability to demonstrate that the clinical and other benefits of the device outweigh the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manufacturing process or facilities we use may not meet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potential for marketing authorization regulations of the FDA to change significantly in a manner rendering our clinical data or regulatory filings insufficient for marketing authorization. </w:t>
            </w:r>
          </w:p>
        </w:tc>
      </w:tr>
    </w:tbl>
    <w:p>
      <w:pPr>
        <w:pStyle w:val="TextBody"/>
        <w:bidi w:val="0"/>
        <w:spacing w:before="160" w:after="0"/>
        <w:jc w:val="left"/>
        <w:rPr>
          <w:rFonts w:ascii="arial" w:hAnsi="arial"/>
          <w:sz w:val="20"/>
        </w:rPr>
      </w:pPr>
      <w:r>
        <w:rPr>
          <w:rFonts w:ascii="arial" w:hAnsi="arial"/>
          <w:sz w:val="20"/>
        </w:rPr>
        <w:t xml:space="preserve">If we or our collaborators are required to obtain a marketing authorization for products based on our technology, we or they would be subject to a substantial number of additional regulatory requirements for medical devices, including establishment registration, device listing, the Quality Systems Regulations (or the Quality Management System Regulation, which amends the Quality Systems Regulation and goes into effect in February 2026) which covers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marketing authorization. Complying with these requirements may be time-consuming and expensive. We or our collaborators may be required to expend significant resources to ensure ongoing compliance with the FDA regulations and/or take satisfactory corrective action in response to an enforcement action, which may have a material adverse effect on the ability to design, develop, and commercialize products using our technology as planned. Failure to comply with these requirements may subject us or a collaborator to a range of enforcement government actions, including, but not limited to, such as warning letters or other letters of regulatory significance, injunctions, civil monetary penalties, criminal prosecution, recall and/or seizure of products, and revocation of marketing authorization, as well as significant adverse publicity. If we or our collaborators fail to obtain, or experience significant delays in obtaining, marketing authorizations for non-RUO, such products may not be able to be launched or successfully commercialized in a timely manner, or at all. </w:t>
      </w:r>
    </w:p>
    <w:p>
      <w:pPr>
        <w:pStyle w:val="TextBody"/>
        <w:bidi w:val="0"/>
        <w:spacing w:before="160" w:after="0"/>
        <w:jc w:val="left"/>
        <w:rPr>
          <w:rFonts w:ascii="arial" w:hAnsi="arial"/>
          <w:sz w:val="20"/>
        </w:rPr>
      </w:pPr>
      <w:r>
        <w:rPr>
          <w:rFonts w:ascii="arial" w:hAnsi="arial"/>
          <w:sz w:val="20"/>
        </w:rPr>
        <w:t xml:space="preserve">In the EU, there is currently no premarket government review of medical devices (including IVDs). However, the EU requires that all IVDs, or accessories to an IVD, bear the CE marking of conformity in accordance with the requirements of the EU IVDR prior to being placed on the market or put into service in the EU. The EU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Affixing the CE mark requires demonstration of compliance with the General, Safety and Performance Requirements (“GSPRs”) laid down in Annex I to the EU IVDR including the general requirement that an IVD must achieve its intended performance and be designed and manufactured in such a way that, during normal conditions of use, it is suitable for its intended purpose. IVDs must be safe and effective and 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Compliance with the GSPRs is a prerequisite to affix the CE mark without which IVDs cannot be marketed or sold in the EU. As part of this process, we may also be required to apply to a designated Notified Body to conduct the conformity assessment of our product with the applicable requirements, which is a lengthy and costly process. If we decide to market products for clinical or diagnostic use and impact our development plans, we may be required to comply with the stringent requirements of the EU IVDR. </w:t>
      </w:r>
    </w:p>
    <w:p>
      <w:pPr>
        <w:pStyle w:val="TextBody"/>
        <w:bidi w:val="0"/>
        <w:spacing w:before="160" w:after="0"/>
        <w:jc w:val="left"/>
        <w:rPr>
          <w:rFonts w:ascii="arial" w:hAnsi="arial"/>
          <w:sz w:val="20"/>
        </w:rPr>
      </w:pPr>
      <w:r>
        <w:rPr>
          <w:rFonts w:ascii="arial" w:hAnsi="arial"/>
          <w:sz w:val="20"/>
        </w:rPr>
        <w:t xml:space="preserve">The EU IVDR does not apply in Great Britain (England, Scotland and Wales) since it came into effect after the United Kingdom’s departure from the EU. In the UK, IVDs are regulated under the Medical Devices Regulations 2002, as amended, which implement the requirements of the EU In Vitro Diagnostic Directive 98/79/EC, which no longer applies in the EU. However, under the terms of the Windsor Framework, the EU IVDR applies in Northern Ireland. The Medicines and Healthcare products Regulatory Agency (“MHRA”) is responsible for the regulation of IVDs in the United Kingdom and has confirmed that it is developing a new regulatory framework for IVDs based on a risk-based approach similar to the EU IVDR’s with the stated aim of reducing regulatory burden, with UK-specific modifications. Until the final legislation and accompanying guidance has been published there will remain uncertainty as to the future IVD regulatory requirements in Great Britain. </w:t>
      </w:r>
    </w:p>
    <w:p>
      <w:pPr>
        <w:pStyle w:val="TextBody"/>
        <w:bidi w:val="0"/>
        <w:spacing w:before="160" w:after="0"/>
        <w:jc w:val="left"/>
        <w:rPr>
          <w:rFonts w:ascii="arial" w:hAnsi="arial"/>
          <w:sz w:val="20"/>
        </w:rPr>
      </w:pPr>
      <w:r>
        <w:rPr>
          <w:rFonts w:ascii="arial" w:hAnsi="arial"/>
          <w:sz w:val="20"/>
        </w:rPr>
        <w:t xml:space="preserve">In addition, the process of obtaining marketing authorization from the FDA or certification from notified bodies in the EU or approved bodies in the United Kingdom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marketing authorizations or certifications for any new products or for modifications to our existing products on a timely basis or that any marketing authorization or certification will not be subsequently withdrawn or conditioned upon extensive post-market study requirements. Moreover, even if we receive FDA marketing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authorization or certification from foreign bodies of new products or modifications to existing products, we will be required to comply with extensive regulations relating to the development, research, marketing authorization, certification,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marketing authorizations or certifications, withdrawals or suspensions of existing marketing authorizations or certifications, resulting in prohibitions on sales of our products, and in the most serious cases, criminal penalties. Occurrence of any of the foregoing could harm our reputation,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Moreover, the FDA or foreign competent authorities may change their marketing authorization policies, adopt additional regulations or revise existing regulations, or take other actions which may prevent or delay marketing authorization or certification of our current or future products under development, or require us to change our business plans. Any new statutes, regulations or revisions or reinterpretations of existing regulations may impose additional costs or lengthen review times of our current or future products or make it more difficult to obtain marketing authorization or certification. For example, the changes to the regulatory system implemented in the EU by the IVDR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would also be required to provide clinical data in the form of a clinical performance report. Fulfilment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for any of our products, or the continued use of any CE Certificate of Conformity issued under the IVDR if obtained. </w:t>
      </w:r>
    </w:p>
    <w:p>
      <w:pPr>
        <w:pStyle w:val="TextBody"/>
        <w:bidi w:val="0"/>
        <w:spacing w:before="160" w:after="0"/>
        <w:jc w:val="left"/>
        <w:rPr>
          <w:rFonts w:ascii="arial" w:hAnsi="arial"/>
          <w:b/>
          <w:i/>
          <w:sz w:val="20"/>
        </w:rPr>
      </w:pPr>
      <w:r>
        <w:rPr>
          <w:rFonts w:ascii="arial" w:hAnsi="arial"/>
          <w:b/>
          <w:i/>
          <w:sz w:val="20"/>
        </w:rPr>
        <w:t xml:space="preserve">If the FDA determines that our RUO products are intended for clinical diagnostic use or if we seek to market our RUO products for clinical diagnostic or health screening use, we or our customers will be required to obtain marketing authorization(s), and we may be required to cease or limit sales of our then marketed products, which could materially and adversely affect our business, financial condition and results of operations. Any such regulatory process would be expensive, time-consuming and uncertain both in timing and in outcome. </w:t>
      </w:r>
    </w:p>
    <w:p>
      <w:pPr>
        <w:pStyle w:val="TextBody"/>
        <w:bidi w:val="0"/>
        <w:spacing w:before="160" w:after="0"/>
        <w:jc w:val="left"/>
        <w:rPr>
          <w:rFonts w:ascii="arial" w:hAnsi="arial"/>
          <w:sz w:val="20"/>
        </w:rPr>
      </w:pPr>
      <w:r>
        <w:rPr>
          <w:rFonts w:ascii="arial" w:hAnsi="arial"/>
          <w:sz w:val="20"/>
        </w:rPr>
        <w:t xml:space="preserve">While we have focused initially on the life sciences research market and RUO products only, our strategy is to expand our product line to encompass products that are intended to be used for the diagnosis of disease. If the FDA were to determine that our current RUO products are intended for clinical diagnostic use or if we decide in the future to market our products for such use, we would be required to obtain marketing authorization in order to sell our products in a manner consistent with the FDA’s laws and regulations. </w:t>
      </w:r>
    </w:p>
    <w:p>
      <w:pPr>
        <w:pStyle w:val="TextBody"/>
        <w:bidi w:val="0"/>
        <w:spacing w:before="160" w:after="0"/>
        <w:jc w:val="left"/>
        <w:rPr>
          <w:rFonts w:ascii="arial" w:hAnsi="arial"/>
          <w:sz w:val="20"/>
        </w:rPr>
      </w:pPr>
      <w:r>
        <w:rPr>
          <w:rFonts w:ascii="arial" w:hAnsi="arial"/>
          <w:sz w:val="20"/>
        </w:rPr>
        <w:t xml:space="preserve">Although our customer contracts specify that our current products are not intended for clinical diagnostic use, it is possible that our customers may use our RUO products to develop their own laboratory developed tests (“LDTs”) for clinical diagnostic use. LDTs are a subset of IVD tests that are designed, manufactured and used within a single laboratory. Historically, FDA has taken the position that LDTs are medical devices that FDA can regulate, though the FDA has generally exercised its enforcement discretion and not enforced applicable regulations with respect to IVDs that are intended for clinical use and are designed, manufactured and used within a single laboratory that is certified under Clinical Laboratory Improvement Amendments of 1988 (“CLIA”) and meets the regulatory requirements under CLIA to perform high-complexity testing, with certain exceptions.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Even under that enforcement discretion policy, the FDA has issued warning letters to, and published Medical Device Safety Communications about, manufacturers for commercializing laboratory tests that were purported to be LDTs but the FDA alleged failed to meet the definition of an LDT or that otherwise were not subject to the FDA’s prior enforcement discretion policy. </w:t>
      </w:r>
    </w:p>
    <w:p>
      <w:pPr>
        <w:pStyle w:val="TextBody"/>
        <w:bidi w:val="0"/>
        <w:spacing w:before="160" w:after="0"/>
        <w:jc w:val="left"/>
        <w:rPr>
          <w:rFonts w:ascii="arial" w:hAnsi="arial"/>
          <w:sz w:val="20"/>
        </w:rPr>
      </w:pPr>
      <w:r>
        <w:rPr>
          <w:rFonts w:ascii="arial" w:hAnsi="arial"/>
          <w:sz w:val="20"/>
        </w:rPr>
        <w:t xml:space="preserve">On May 6, 2024, the FDA published a final rule on the regulation of LDTs, which amended the FDA’s regulations under 21 CFR Part 809 to make explicit that LDTs are IVDs and are regulated as devices under the FD&amp;C Act. However, on March 31, 2025, the United States District Court for the Eastern District of Texas vacated the FDA’s LDT final rule. The U.S. government did not appeal the ruling, and the FDA rescinded the rule on September 19, 2025. </w:t>
      </w:r>
    </w:p>
    <w:p>
      <w:pPr>
        <w:pStyle w:val="TextBody"/>
        <w:bidi w:val="0"/>
        <w:spacing w:before="160" w:after="0"/>
        <w:jc w:val="left"/>
        <w:rPr>
          <w:rFonts w:ascii="arial" w:hAnsi="arial"/>
          <w:sz w:val="20"/>
        </w:rPr>
      </w:pPr>
      <w:r>
        <w:rPr>
          <w:rFonts w:ascii="arial" w:hAnsi="arial"/>
          <w:sz w:val="20"/>
        </w:rPr>
        <w:t xml:space="preserve">It is uncertain whether or when the FDA may be able to otherwise exercise its medical device authority with respect to LDTs or their components. This uncertainty could adversely affect the FDA’s ability to apply and enforce its medical device requirements with respect to diagnostic tests more broadly, including any LDTs for which our customers have obtained marketing authorization. Such uncertainty and the FDA’s actions in response could have a material adverse effect on our business and operation. </w:t>
      </w:r>
    </w:p>
    <w:p>
      <w:pPr>
        <w:pStyle w:val="TextBody"/>
        <w:bidi w:val="0"/>
        <w:spacing w:before="160" w:after="0"/>
        <w:jc w:val="left"/>
        <w:rPr>
          <w:rFonts w:ascii="arial" w:hAnsi="arial"/>
          <w:sz w:val="20"/>
        </w:rPr>
      </w:pPr>
      <w:r>
        <w:rPr>
          <w:rFonts w:ascii="arial" w:hAnsi="arial"/>
          <w:sz w:val="20"/>
        </w:rPr>
        <w:t xml:space="preserve">Failure to comply with applicable FDA requirements could subject us or our customers to a range of government actions, including warning letters or other allegations of noncompliance with applicable regulations, injunctions, civil monetary penalties, criminal prosecution, and recall and/or seizure of products, as well as significant adverse publicity based on violations of the FDC Act, including, but not limited to, adulteration and misbranding.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 </w:t>
      </w:r>
    </w:p>
    <w:p>
      <w:pPr>
        <w:pStyle w:val="TextBody"/>
        <w:bidi w:val="0"/>
        <w:spacing w:before="160" w:after="0"/>
        <w:jc w:val="left"/>
        <w:rPr>
          <w:rFonts w:ascii="arial" w:hAnsi="arial"/>
          <w:b/>
          <w:i/>
          <w:sz w:val="20"/>
        </w:rPr>
      </w:pPr>
      <w:r>
        <w:rPr>
          <w:rFonts w:ascii="arial" w:hAnsi="arial"/>
          <w:b/>
          <w:i/>
          <w:sz w:val="20"/>
        </w:rPr>
        <w:t xml:space="preserve">New legislation or regulation in the United States may make it more difficult and costly for us to manufacture, market, or distribute our products, or to obtain marketing authorizations for any future products. </w:t>
      </w:r>
    </w:p>
    <w:p>
      <w:pPr>
        <w:pStyle w:val="TextBody"/>
        <w:bidi w:val="0"/>
        <w:spacing w:before="160" w:after="0"/>
        <w:jc w:val="left"/>
        <w:rPr>
          <w:rFonts w:ascii="arial" w:hAnsi="arial"/>
          <w:sz w:val="20"/>
        </w:rPr>
      </w:pPr>
      <w:r>
        <w:rPr>
          <w:rFonts w:ascii="arial" w:hAnsi="arial"/>
          <w:sz w:val="20"/>
        </w:rPr>
        <w:t xml:space="preserve">From time to time, Congress may enact new legislation or the FDA may issue new regulation that could significantly change the regulation of medical devices. For example, on January 31, 2024, the FDA issued a final rule to amend the QSR, which establishes cGMP requirements for medical device manufacturers, to align more closely with the ISO standards. Specifically, this final rule, which went into effect on February 2, 2026, replaced the QSR with the QMSR, and among other things, incorporates by reference the quality management system requirements of ISO 13485:2016. Although the FDA has stated that the standards contained in ISO 13485:2016 are substantially similar to those set forth in the existing QSR, it is unclear the extent to which this final rule, once implemented, could impose additional or different regulatory requirements on us that could increase the costs of compliance or otherwise create market pressure that may negatively affect our business. It is unclear the extent to which any other legislative or regulatory proposal, if adopted or issued, could impose additional or different regulatory requirements on us that could increase the costs of compliance or otherwise create competition that may negatively affect our business. </w:t>
      </w:r>
    </w:p>
    <w:p>
      <w:pPr>
        <w:pStyle w:val="TextBody"/>
        <w:bidi w:val="0"/>
        <w:spacing w:before="160" w:after="0"/>
        <w:jc w:val="left"/>
        <w:rPr>
          <w:rFonts w:ascii="arial" w:hAnsi="arial"/>
          <w:sz w:val="20"/>
        </w:rPr>
      </w:pPr>
      <w:r>
        <w:rPr>
          <w:rFonts w:ascii="arial" w:hAnsi="arial"/>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currently marketed as RUO, or may impose additional costs, lengthen marketing authorization review times, or make it more difficult to obtain marketing authorizations for any future products we develop or for any current products for which we are required to obtain marketing authorization.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Disruptions at the FDA and other government agencies caused by funding shortages or staffing limitations could hinder their ability to hire, retain or deploy key leadership and other personnel, prevent new or modified products from being developed, reviewed, approved or commercialized in a timely manner or at all, which could negatively impact our business. </w:t>
      </w:r>
    </w:p>
    <w:p>
      <w:pPr>
        <w:pStyle w:val="TextBody"/>
        <w:bidi w:val="0"/>
        <w:spacing w:before="160" w:after="0"/>
        <w:jc w:val="left"/>
        <w:rPr>
          <w:rFonts w:ascii="arial" w:hAnsi="arial"/>
          <w:sz w:val="20"/>
        </w:rPr>
      </w:pPr>
      <w:r>
        <w:rPr>
          <w:rFonts w:ascii="arial" w:hAnsi="arial"/>
          <w:sz w:val="20"/>
        </w:rPr>
        <w:t xml:space="preserve">The ability of the FDA and foreign regulatory authorities to review and provide marketing authorization to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medical devices or modifications to such devices to be reviewed and/or receive marketing authorization from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160" w:after="0"/>
        <w:jc w:val="left"/>
        <w:rPr>
          <w:rFonts w:ascii="arial" w:hAnsi="arial"/>
          <w:sz w:val="20"/>
        </w:rPr>
      </w:pPr>
      <w:r>
        <w:rPr>
          <w:rFonts w:ascii="arial" w:hAnsi="arial"/>
          <w:sz w:val="20"/>
        </w:rPr>
        <w:t xml:space="preserve">If a prolonged government shutdown occurs, or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w:t>
      </w:r>
    </w:p>
    <w:p>
      <w:pPr>
        <w:pStyle w:val="TextBody"/>
        <w:bidi w:val="0"/>
        <w:spacing w:before="160" w:after="0"/>
        <w:jc w:val="left"/>
        <w:rPr>
          <w:rFonts w:ascii="arial" w:hAnsi="arial"/>
          <w:b/>
          <w:i/>
          <w:sz w:val="20"/>
        </w:rPr>
      </w:pPr>
      <w:r>
        <w:rPr>
          <w:rFonts w:ascii="arial" w:hAnsi="arial"/>
          <w:b/>
          <w:i/>
          <w:sz w:val="20"/>
        </w:rPr>
        <w:t xml:space="preserve">Our customers who use our products and we, if we develop new products, could be required to comply with numerous healthcare regulations and subject to third-party payor coverage and reimbursement policies, which may be expensive, time-consuming and uncertain both in timing and in outcome. </w:t>
      </w:r>
    </w:p>
    <w:p>
      <w:pPr>
        <w:pStyle w:val="TextBody"/>
        <w:bidi w:val="0"/>
        <w:spacing w:before="160" w:after="0"/>
        <w:jc w:val="left"/>
        <w:rPr>
          <w:rFonts w:ascii="arial" w:hAnsi="arial"/>
          <w:sz w:val="20"/>
        </w:rPr>
      </w:pPr>
      <w:r>
        <w:rPr>
          <w:rFonts w:ascii="arial" w:hAnsi="arial"/>
          <w:sz w:val="20"/>
        </w:rPr>
        <w:t xml:space="preserve">Our customers who use our platform and we, if we expand our product line to include those intended for clinical diagnostic use, may be subject to broadly applicable U.S. federal and state healthcare laws and regulations, including, without limitation, state and federal anti-kickback, fraud and abuse, false claims, data privacy and security and physician sunshine laws and regulations. 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additional regulatory oversight, reputational harm, administrative burdens, diminished profits and future earnings and the curtailment or restructuring of operations. </w:t>
      </w:r>
    </w:p>
    <w:p>
      <w:pPr>
        <w:pStyle w:val="TextBody"/>
        <w:bidi w:val="0"/>
        <w:spacing w:before="160" w:after="0"/>
        <w:jc w:val="left"/>
        <w:rPr>
          <w:rFonts w:ascii="arial" w:hAnsi="arial"/>
          <w:sz w:val="20"/>
        </w:rPr>
      </w:pPr>
      <w:r>
        <w:rPr>
          <w:rFonts w:ascii="arial" w:hAnsi="arial"/>
          <w:sz w:val="20"/>
        </w:rPr>
        <w:t xml:space="preserve">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w:t>
      </w:r>
    </w:p>
    <w:p>
      <w:pPr>
        <w:pStyle w:val="TextBody"/>
        <w:bidi w:val="0"/>
        <w:spacing w:before="160" w:after="0"/>
        <w:jc w:val="left"/>
        <w:rPr>
          <w:rFonts w:ascii="arial" w:hAnsi="arial"/>
          <w:sz w:val="20"/>
        </w:rPr>
      </w:pPr>
      <w:r>
        <w:rPr>
          <w:rFonts w:ascii="arial" w:hAnsi="arial"/>
          <w:sz w:val="20"/>
        </w:rPr>
        <w:t xml:space="preserve">Similarly, a significant trend in the healthcare industry is cost containment. Third-party payors have attempted to control costs by limiting coverage and the amount of reimbursement for new diagnostic tests, medications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medical devices. Our ability to commercialize any potential FDA-authorized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 </w:t>
      </w:r>
    </w:p>
    <w:p>
      <w:pPr>
        <w:pStyle w:val="TextBody"/>
        <w:bidi w:val="0"/>
        <w:spacing w:before="160" w:after="0"/>
        <w:jc w:val="left"/>
        <w:rPr>
          <w:rFonts w:ascii="arial" w:hAnsi="arial"/>
          <w:b/>
          <w:i/>
          <w:sz w:val="20"/>
        </w:rPr>
      </w:pPr>
      <w:r>
        <w:rPr>
          <w:rFonts w:ascii="arial" w:hAnsi="arial"/>
          <w:b/>
          <w:i/>
          <w:sz w:val="20"/>
        </w:rPr>
        <w:t xml:space="preserve">We may never obtain marketing authorization or certification in foreign jurisdictions for any of our products that we decide to develop products for clinical or diagnostic uses, and, even if we do, we may never be able to commercialize them in any other jurisdiction, which would limit our ability to realize their full market potential. </w:t>
      </w:r>
    </w:p>
    <w:p>
      <w:pPr>
        <w:pStyle w:val="TextBody"/>
        <w:bidi w:val="0"/>
        <w:spacing w:before="160" w:after="0"/>
        <w:jc w:val="left"/>
        <w:rPr>
          <w:rFonts w:ascii="arial" w:hAnsi="arial"/>
          <w:sz w:val="20"/>
        </w:rPr>
      </w:pPr>
      <w:r>
        <w:rPr>
          <w:rFonts w:ascii="arial" w:hAnsi="arial"/>
          <w:sz w:val="20"/>
        </w:rPr>
        <w:t xml:space="preserve">In order to eventually market any of our current or future products for clinical or diagnostic use, in any particular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Marketing authorization or certification processes vary among countries and can involve additional product testing and validation and additional administrative review periods. </w:t>
      </w:r>
    </w:p>
    <w:p>
      <w:pPr>
        <w:pStyle w:val="TextBody"/>
        <w:bidi w:val="0"/>
        <w:spacing w:before="160" w:after="0"/>
        <w:jc w:val="left"/>
        <w:rPr>
          <w:rFonts w:ascii="arial" w:hAnsi="arial"/>
          <w:sz w:val="20"/>
        </w:rPr>
      </w:pPr>
      <w:r>
        <w:rPr>
          <w:rFonts w:ascii="arial" w:hAnsi="arial"/>
          <w:sz w:val="20"/>
        </w:rPr>
        <w:t xml:space="preserve">Seeking regulatory marketing authorization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marketing authorizations or certification in international markets, or if those marketing authorizations or certification are delayed, our ability to realize the full market potential of such products will be unrealized. </w:t>
      </w:r>
    </w:p>
    <w:p>
      <w:pPr>
        <w:pStyle w:val="TextBody"/>
        <w:bidi w:val="0"/>
        <w:spacing w:before="160" w:after="0"/>
        <w:jc w:val="left"/>
        <w:rPr>
          <w:rFonts w:ascii="arial" w:hAnsi="arial"/>
          <w:b/>
          <w:i/>
          <w:sz w:val="20"/>
        </w:rPr>
      </w:pPr>
      <w:r>
        <w:rPr>
          <w:rFonts w:ascii="arial" w:hAnsi="arial"/>
          <w:b/>
          <w:i/>
          <w:sz w:val="20"/>
        </w:rPr>
        <w:t xml:space="preserve">We are subject to the U.S. Foreign Corrupt Practices Act and anti-corruption laws of other countries,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Our operations are subject to certain anti-corruption laws, including the U.S. Foreign Corrupt Practices Act (the “FCPA”), the U.S. domestic bribery statute, the U.S. Travel Act and other anticorruption laws that apply in countries where we do business. The FCPA and other anti-corruption laws generally prohibit us and our employees and intermediaries offering, promising, giving or authorizing others to give anything of value, either directly or indirectly through third parties, to any person in the public or private sector to obtain or retain business or gain some other business advantage. The FCPA also requires public companies to make and keep books and records that accurately and fairly reflect the transactions of the corporation and to devise and maintain an adequate system of internal accounting controls. We and our commercial partners operate in a number of jurisdictions that pose a high risk of potential anti-corruption violations and we participate in collaborations and relationships with third parties whose actions could potentially subject us to liability under the FCPA or local anti-corruption laws. We may also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60" w:after="0"/>
        <w:jc w:val="left"/>
        <w:rPr>
          <w:rFonts w:ascii="arial" w:hAnsi="arial"/>
          <w:sz w:val="20"/>
        </w:rPr>
      </w:pPr>
      <w:r>
        <w:rPr>
          <w:rFonts w:ascii="arial" w:hAnsi="arial"/>
          <w:sz w:val="20"/>
        </w:rPr>
        <w:t xml:space="preserve">We are also subject to other laws and regulations governing our international operations, including regulations administered in the United States and in the European Union, including applicable export control regulations, economic sanctions on countries and persons, customs requirements and currency exchange regulations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(collectively, “Trade Control Laws”). We are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60" w:after="0"/>
        <w:jc w:val="left"/>
        <w:rPr>
          <w:rFonts w:ascii="arial" w:hAnsi="arial"/>
          <w:sz w:val="20"/>
        </w:rPr>
      </w:pPr>
      <w:r>
        <w:rPr>
          <w:rFonts w:ascii="arial" w:hAnsi="arial"/>
          <w:sz w:val="20"/>
        </w:rPr>
        <w:t xml:space="preserve">There can be no assurance that we will be completely effective in ensuring our compliance with all applicable anticorruption laws, including the FCPA, or other legal requirements, such as Trade Control Laws. In addition, we cannot predict the nature, scope or effect of future regulatory requirements to which our international operations might be subject or the manner in which existing laws might be administered or interpreted. Any investigation of potential violations of the FCPA, other anti-corruption laws or Trade Control Laws by the United States, the European Union or other authorities could have an adverse impact on our reputation, our business, results of operations and financial condition.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Changes in tax laws, regulations, rulings or interpretations that are applied adversely to us or our customers may have a material adverse effect on our business, cash flow, financial condition or results of operations. </w:t>
      </w:r>
    </w:p>
    <w:p>
      <w:pPr>
        <w:pStyle w:val="TextBody"/>
        <w:bidi w:val="0"/>
        <w:spacing w:before="160" w:after="0"/>
        <w:jc w:val="left"/>
        <w:rPr>
          <w:rFonts w:ascii="arial" w:hAnsi="arial"/>
          <w:sz w:val="20"/>
        </w:rPr>
      </w:pPr>
      <w:r>
        <w:rPr>
          <w:rFonts w:ascii="arial" w:hAnsi="arial"/>
          <w:sz w:val="20"/>
        </w:rPr>
        <w:t xml:space="preserve">New income, sales and use or other tax laws or regulations could be enacted at any time, which could adversely affect our business operations and financial performance. Further,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newly interpreted or applied, also could increase our compliance, operating and other costs, as well as the costs of our products. For example, legislation commonly referred to as the One Big Beautiful Bill Act, enacted in 2025, along with other recent U.S. federal tax reform legislation,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The Inflation Reduction Act, enacted in 2022, provides for a minimum tax equal to 15 percent of the adjusted financial statement income of certain large U.S. corporations as well as a one percent excise tax on certain stock repurchases imposed on public corporations. Future guidance from the Internal Revenue Service and other tax authorities with respect to any such legislation may affect us, and certain aspects of such legislation could be repealed or modified in future legislation or sunset in future years. It is uncertain if and to what extent various states will conform to current federal law, or any subsequent federal tax legislation or other guidance.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 </w:t>
      </w:r>
    </w:p>
    <w:p>
      <w:pPr>
        <w:pStyle w:val="TextBody"/>
        <w:bidi w:val="0"/>
        <w:spacing w:before="160" w:after="0"/>
        <w:jc w:val="left"/>
        <w:rPr>
          <w:rFonts w:ascii="arial" w:hAnsi="arial"/>
          <w:b/>
          <w:i/>
          <w:sz w:val="20"/>
        </w:rPr>
      </w:pPr>
      <w:r>
        <w:rPr>
          <w:rFonts w:ascii="arial" w:hAnsi="arial"/>
          <w:b/>
          <w:i/>
          <w:sz w:val="20"/>
        </w:rPr>
        <w:t xml:space="preserve">Our ability to use our net operating loss carryforwards and certain other tax attributes may be limited. </w:t>
      </w:r>
    </w:p>
    <w:p>
      <w:pPr>
        <w:pStyle w:val="TextBody"/>
        <w:bidi w:val="0"/>
        <w:spacing w:before="160" w:after="0"/>
        <w:jc w:val="left"/>
        <w:rPr>
          <w:rFonts w:ascii="arial" w:hAnsi="arial"/>
          <w:sz w:val="20"/>
        </w:rPr>
      </w:pPr>
      <w:r>
        <w:rPr>
          <w:rFonts w:ascii="arial" w:hAnsi="arial"/>
          <w:sz w:val="20"/>
        </w:rPr>
        <w:t xml:space="preserve">As of December 31, 2025, we had U.S. federal and state net operating loss carryforwards of approximately $100.5 million and $87.1 million, respectively, and U.S. federal and state research tax credits of approximately $9.6 million and $7.5 million, respectively. Under current law, federal net operating losses arising in taxable years beginning after December 31, 2017 may be carried forward indefinitely, but the deductibility of such federal net operating losses in any taxable year is limited to 80% of taxable income (with certain adjustments)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such year. In addition, under Sections 382 and 383 of the Internal Revenue Code of 1986, as amended (the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and other pre-change tax attributes, such as research tax credits, to offset its post-change taxable income or taxes, as applicable, may be limited. We may have experienced ownership changes in the past, and we may experience ownership changes in the future because of subsequent shifts in our stock ownership. As a result, our ability to use our net operating loss carryforwards or other tax attributes to offset future taxable income or taxes, as applicable, may be subject to limitations, which potentially could result in increased future tax liability to us. Similar rules may apply under state tax laws. In addition, at the state level, there may be periods during which the use of net operating loss carryforwards is suspended or otherwise limited, which could accelerate or permanently increase state taxes owed. </w:t>
      </w:r>
    </w:p>
    <w:p>
      <w:pPr>
        <w:pStyle w:val="TextBody"/>
        <w:bidi w:val="0"/>
        <w:spacing w:before="160" w:after="0"/>
        <w:jc w:val="left"/>
        <w:rPr>
          <w:rFonts w:ascii="arial" w:hAnsi="arial"/>
          <w:b/>
          <w:i/>
          <w:sz w:val="20"/>
        </w:rPr>
      </w:pPr>
      <w:r>
        <w:rPr>
          <w:rFonts w:ascii="arial" w:hAnsi="arial"/>
          <w:b/>
          <w:i/>
          <w:sz w:val="20"/>
        </w:rPr>
        <w:t xml:space="preserve">Our international operations may subject us to potential adverse tax consequences. </w:t>
      </w:r>
    </w:p>
    <w:p>
      <w:pPr>
        <w:pStyle w:val="TextBody"/>
        <w:bidi w:val="0"/>
        <w:spacing w:before="160" w:after="0"/>
        <w:jc w:val="left"/>
        <w:rPr>
          <w:rFonts w:ascii="arial" w:hAnsi="arial"/>
          <w:sz w:val="20"/>
        </w:rPr>
      </w:pPr>
      <w:r>
        <w:rPr>
          <w:rFonts w:ascii="arial" w:hAnsi="arial"/>
          <w:sz w:val="20"/>
        </w:rPr>
        <w:t xml:space="preserve">We have significant international operations. Our corporate structure and associated transfer pricing policies consider the functions, risks and assets of the various entities involved in our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international standards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w:t>
      </w:r>
    </w:p>
    <w:p>
      <w:pPr>
        <w:pStyle w:val="TextBody"/>
        <w:bidi w:val="0"/>
        <w:spacing w:before="160" w:after="0"/>
        <w:jc w:val="left"/>
        <w:rPr>
          <w:rFonts w:ascii="arial" w:hAnsi="arial"/>
          <w:b/>
          <w:i/>
          <w:sz w:val="20"/>
        </w:rPr>
      </w:pPr>
      <w:r>
        <w:rPr>
          <w:rFonts w:ascii="arial" w:hAnsi="arial"/>
          <w:b/>
          <w:i/>
          <w:sz w:val="20"/>
        </w:rPr>
        <w:t xml:space="preserve">Our results of operations may be negatively affected if we are required to pay additional sales and use tax, value added tax or other transaction taxes, and we could be subject to liability with respect to all or a portion of past or future sales. </w:t>
      </w:r>
    </w:p>
    <w:p>
      <w:pPr>
        <w:pStyle w:val="TextBody"/>
        <w:bidi w:val="0"/>
        <w:spacing w:before="160" w:after="0"/>
        <w:jc w:val="left"/>
        <w:rPr>
          <w:rFonts w:ascii="arial" w:hAnsi="arial"/>
          <w:sz w:val="20"/>
        </w:rPr>
      </w:pPr>
      <w:r>
        <w:rPr>
          <w:rFonts w:ascii="arial" w:hAnsi="arial"/>
          <w:sz w:val="20"/>
        </w:rPr>
        <w:t xml:space="preserve">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 </w:t>
      </w:r>
    </w:p>
    <w:p>
      <w:pPr>
        <w:pStyle w:val="TextBody"/>
        <w:bidi w:val="0"/>
        <w:spacing w:before="160" w:after="0"/>
        <w:jc w:val="left"/>
        <w:rPr>
          <w:rFonts w:ascii="arial" w:hAnsi="arial"/>
          <w:sz w:val="20"/>
        </w:rPr>
      </w:pPr>
      <w:r>
        <w:rPr>
          <w:rFonts w:ascii="arial" w:hAnsi="arial"/>
          <w:sz w:val="20"/>
        </w:rPr>
        <w:t xml:space="preserve">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burdensome tax jurisdictions, result in substantial tax liabilities related to past or future sales, or otherwise seriously harm our business, results of operations, financial condition or prospects. </w:t>
      </w:r>
    </w:p>
    <w:p>
      <w:pPr>
        <w:pStyle w:val="TextBody"/>
        <w:bidi w:val="0"/>
        <w:spacing w:before="320" w:after="0"/>
        <w:jc w:val="left"/>
        <w:rPr>
          <w:rFonts w:ascii="arial" w:hAnsi="arial"/>
          <w:b/>
          <w:sz w:val="24"/>
        </w:rPr>
      </w:pPr>
      <w:r>
        <w:rPr>
          <w:rFonts w:ascii="arial" w:hAnsi="arial"/>
          <w:b/>
          <w:sz w:val="24"/>
        </w:rPr>
        <w:t xml:space="preserve">Risks related to our intellectual property, information technology and data security </w:t>
      </w:r>
    </w:p>
    <w:p>
      <w:pPr>
        <w:pStyle w:val="TextBody"/>
        <w:bidi w:val="0"/>
        <w:spacing w:before="160" w:after="0"/>
        <w:jc w:val="left"/>
        <w:rPr>
          <w:rFonts w:ascii="arial" w:hAnsi="arial"/>
          <w:b/>
          <w:i/>
          <w:sz w:val="20"/>
        </w:rPr>
      </w:pPr>
      <w:r>
        <w:rPr>
          <w:rFonts w:ascii="arial" w:hAnsi="arial"/>
          <w:b/>
          <w:i/>
          <w:sz w:val="20"/>
        </w:rPr>
        <w:t xml:space="preserve">Our success will depend on our ability to obtain, maintain and protect our intellectual property rights. </w:t>
      </w:r>
    </w:p>
    <w:p>
      <w:pPr>
        <w:pStyle w:val="TextBody"/>
        <w:bidi w:val="0"/>
        <w:spacing w:before="160" w:after="0"/>
        <w:jc w:val="left"/>
        <w:rPr>
          <w:rFonts w:ascii="arial" w:hAnsi="arial"/>
          <w:sz w:val="20"/>
        </w:rPr>
      </w:pPr>
      <w:r>
        <w:rPr>
          <w:rFonts w:ascii="arial" w:hAnsi="arial"/>
          <w:sz w:val="20"/>
        </w:rPr>
        <w:t xml:space="preserve">Our success and ability to compete depends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develop and commercialize products similar or identical to ours, or to use our technologies or the goodwill we have acquired in the marketplace. This could erode or negate any competitive advantage we may have and our ability to compete, which could harm our business and ability to achieve profitability and/or cause us to incur significant expenses. </w:t>
      </w:r>
    </w:p>
    <w:p>
      <w:pPr>
        <w:pStyle w:val="TextBody"/>
        <w:bidi w:val="0"/>
        <w:spacing w:before="160" w:after="0"/>
        <w:jc w:val="left"/>
        <w:rPr>
          <w:rFonts w:ascii="arial" w:hAnsi="arial"/>
          <w:sz w:val="20"/>
        </w:rPr>
      </w:pPr>
      <w:r>
        <w:rPr>
          <w:rFonts w:ascii="arial" w:hAnsi="arial"/>
          <w:sz w:val="20"/>
        </w:rPr>
        <w:t xml:space="preserve">We rely on a combination of contractual provisions, confidentiality procedures and patent, trademark, copyright, trade secret and other intellectual property laws to protect the proprietary aspects of our products, brands,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160" w:after="0"/>
        <w:jc w:val="left"/>
        <w:rPr>
          <w:rFonts w:ascii="arial" w:hAnsi="arial"/>
          <w:sz w:val="20"/>
        </w:rPr>
      </w:pPr>
      <w:r>
        <w:rPr>
          <w:rFonts w:ascii="arial" w:hAnsi="arial"/>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Also, the patent prosecution process is expensive, time-consuming, and complex, and we may not be able to file, prosecute, maintain, enforce, defend or license all necessary or desirable patent applications or patents at a reasonable cost or in a timely manner or in all jurisdictions. </w:t>
      </w:r>
    </w:p>
    <w:p>
      <w:pPr>
        <w:pStyle w:val="TextBody"/>
        <w:bidi w:val="0"/>
        <w:spacing w:before="160" w:after="0"/>
        <w:jc w:val="left"/>
        <w:rPr>
          <w:rFonts w:ascii="arial" w:hAnsi="arial"/>
          <w:sz w:val="20"/>
        </w:rPr>
      </w:pPr>
      <w:r>
        <w:rPr>
          <w:rFonts w:ascii="arial" w:hAnsi="arial"/>
          <w:sz w:val="20"/>
        </w:rPr>
        <w:t xml:space="preserve">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commercialization activities conducted by or on behalf of us before it is too late to obtain patent protection on such inventions. Moreover, we may not develop additional proprietary products, services and technologies that are patentable or that can be protected as a trade secret.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and offer for sale or sell our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manufacturing and/or commercializing our own products or services, or otherwise practicing our own technology. Any of these outcomes could impair our ability to prevent competition from third parties, which may have an adverse impact on our business. </w:t>
      </w:r>
    </w:p>
    <w:p>
      <w:pPr>
        <w:pStyle w:val="TextBody"/>
        <w:bidi w:val="0"/>
        <w:spacing w:before="160" w:after="0"/>
        <w:jc w:val="left"/>
        <w:rPr>
          <w:rFonts w:ascii="arial" w:hAnsi="arial"/>
          <w:sz w:val="20"/>
        </w:rPr>
      </w:pPr>
      <w:r>
        <w:rPr>
          <w:rFonts w:ascii="arial" w:hAnsi="arial"/>
          <w:sz w:val="20"/>
        </w:rPr>
        <w:t xml:space="preserve">The patent positions of life science technology companies, including our patent position, generally is highly uncertain and involves complex legal and factual questions that have been the subject of much litigation in recent years. As a result, the issuance, scope, validity, enforceability and commercial value of our patent rights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and even if the coverage or breadth is sufficient, patents protecting a product or technology might expire prior to or shortly after such product or technology is commercialized.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 </w:t>
      </w:r>
    </w:p>
    <w:p>
      <w:pPr>
        <w:pStyle w:val="TextBody"/>
        <w:bidi w:val="0"/>
        <w:spacing w:before="160" w:after="0"/>
        <w:jc w:val="left"/>
        <w:rPr>
          <w:rFonts w:ascii="arial" w:hAnsi="arial"/>
          <w:sz w:val="20"/>
        </w:rPr>
      </w:pPr>
      <w:r>
        <w:rPr>
          <w:rFonts w:ascii="arial" w:hAnsi="arial"/>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in court or before administrative bodies in the United States or abroad, including the U.S. Patent and Trademark Office (USPTO), deemed unenforceable, invalidated, narrowed or circumvented. It is possible that third parties will design around our current or future patents such that we cannot prevent such third parties from using similar technologies and commercializing similar products or services to compete with us.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time-consuming and complex. Thus, any patents that we may own may not provide the anticipated level of, or any, protection against competitors. Furthermore, an adverse decision may result in a third party receiving a patent right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sought by us, which in turn could affect our ability to develop, manufacture or commercialize our products or technologies. </w:t>
      </w:r>
    </w:p>
    <w:p>
      <w:pPr>
        <w:pStyle w:val="TextBody"/>
        <w:bidi w:val="0"/>
        <w:spacing w:before="160" w:after="0"/>
        <w:jc w:val="left"/>
        <w:rPr>
          <w:rFonts w:ascii="arial" w:hAnsi="arial"/>
          <w:sz w:val="20"/>
        </w:rPr>
      </w:pPr>
      <w:r>
        <w:rPr>
          <w:rFonts w:ascii="arial" w:hAnsi="arial"/>
          <w:sz w:val="20"/>
        </w:rPr>
        <w:t xml:space="preserve">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 </w:t>
      </w:r>
    </w:p>
    <w:p>
      <w:pPr>
        <w:pStyle w:val="TextBody"/>
        <w:bidi w:val="0"/>
        <w:spacing w:before="160" w:after="0"/>
        <w:jc w:val="left"/>
        <w:rPr>
          <w:rFonts w:ascii="arial" w:hAnsi="arial"/>
          <w:sz w:val="20"/>
        </w:rPr>
      </w:pPr>
      <w:r>
        <w:rPr>
          <w:rFonts w:ascii="arial" w:hAnsi="arial"/>
          <w:sz w:val="20"/>
        </w:rPr>
        <w:t xml:space="preserve">The degree of future protection for our proprietary rights is uncertain, and we cannot ensure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others will not develop, manufacture and/or commercialize similar or alternative products or technologies that do not infringe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patents issued to us will provide a basis for an exclusive market for our commercially viable products or technologies, will provide us with any competitive advantages or will not be challenged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of our challenged patents will be found to ultimately be valid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of our patents, or any of our pending patent applications, if issued, will include claims having a scope sufficient to protect our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of our pending patent applications will issue as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we will be able to successfully manufacture and commercialize our products on a substantial scale before relevant patents we may have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were the first to make the inventions covered by each of our patents and pending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were the first to file patent applications for these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will develop additional proprietary technologies or products that are separately patentable;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commercial activities or products will not infringe upon the patents of others. </w:t>
            </w:r>
          </w:p>
        </w:tc>
      </w:tr>
    </w:tbl>
    <w:p>
      <w:pPr>
        <w:pStyle w:val="TextBody"/>
        <w:bidi w:val="0"/>
        <w:spacing w:before="160" w:after="0"/>
        <w:jc w:val="left"/>
        <w:rPr>
          <w:rFonts w:ascii="arial" w:hAnsi="arial"/>
          <w:b/>
          <w:i/>
          <w:sz w:val="20"/>
        </w:rPr>
      </w:pPr>
      <w:r>
        <w:rPr>
          <w:rFonts w:ascii="arial" w:hAnsi="arial"/>
          <w:b/>
          <w:i/>
          <w:sz w:val="20"/>
        </w:rPr>
        <w:t xml:space="preserve">If we cannot successfully enforce our intellectual property rights, the commercial value of our products and technologies will be adversely affected and our competitive position may be harmed. </w:t>
      </w:r>
    </w:p>
    <w:p>
      <w:pPr>
        <w:pStyle w:val="TextBody"/>
        <w:bidi w:val="0"/>
        <w:spacing w:before="160" w:after="0"/>
        <w:jc w:val="left"/>
        <w:rPr>
          <w:rFonts w:ascii="arial" w:hAnsi="arial"/>
          <w:sz w:val="20"/>
        </w:rPr>
      </w:pPr>
      <w:r>
        <w:rPr>
          <w:rFonts w:ascii="arial" w:hAnsi="arial"/>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technologies. We have in the past and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arial" w:hAnsi="arial"/>
          <w:i/>
          <w:sz w:val="20"/>
        </w:rPr>
        <w:t>inter partes</w:t>
      </w:r>
      <w:r>
        <w:rPr>
          <w:rFonts w:ascii="arial" w:hAnsi="arial"/>
          <w:sz w:val="20"/>
        </w:rPr>
        <w:t xml:space="preserve"> review, interference proceedings, derivation proceedings, and equivalent proceedings in foreign jurisdictions (e.g., opposition proceedings). In a patent or other intellectual property infringement proceeding, a court may decide that a patent or other intellectual property right of ours is invalid or unenforceable, in addition to not being infringed,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cost and expenses of the proceedings. </w:t>
      </w:r>
    </w:p>
    <w:p>
      <w:pPr>
        <w:pStyle w:val="TextBody"/>
        <w:bidi w:val="0"/>
        <w:spacing w:before="160" w:after="0"/>
        <w:jc w:val="left"/>
        <w:rPr>
          <w:rFonts w:ascii="arial" w:hAnsi="arial"/>
          <w:b/>
          <w:i/>
          <w:sz w:val="20"/>
        </w:rPr>
      </w:pPr>
      <w:r>
        <w:rPr>
          <w:rFonts w:ascii="arial" w:hAnsi="arial"/>
          <w:b/>
          <w:i/>
          <w:sz w:val="20"/>
        </w:rPr>
        <w:t xml:space="preserve">We may be subject to claims challenging the inventorship or ownership of our patents and other intellectual property rights. </w:t>
      </w:r>
    </w:p>
    <w:p>
      <w:pPr>
        <w:pStyle w:val="TextBody"/>
        <w:bidi w:val="0"/>
        <w:spacing w:before="160" w:after="0"/>
        <w:jc w:val="left"/>
        <w:rPr>
          <w:rFonts w:ascii="arial" w:hAnsi="arial"/>
          <w:sz w:val="20"/>
        </w:rPr>
      </w:pPr>
      <w:r>
        <w:rPr>
          <w:rFonts w:ascii="arial" w:hAnsi="arial"/>
          <w:sz w:val="20"/>
        </w:rPr>
        <w:t xml:space="preserve">We may also be subject to claims that our former employees, contractors, advisors, or collaborators,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or services.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60" w:after="0"/>
        <w:jc w:val="left"/>
        <w:rPr>
          <w:rFonts w:ascii="arial" w:hAnsi="arial"/>
          <w:sz w:val="20"/>
        </w:rPr>
      </w:pPr>
      <w:r>
        <w:rPr>
          <w:rFonts w:ascii="arial" w:hAnsi="arial"/>
          <w:sz w:val="20"/>
        </w:rPr>
        <w:t xml:space="preserve">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are and may in the future become a party to intellectual property litigation or administrative proceedings that could be expensive, time-consuming, unsuccessful, and could interfere with our ability to develop, manufacture and commercialize our products or technologies, and could have a material adverse effect on our business. </w:t>
      </w:r>
    </w:p>
    <w:p>
      <w:pPr>
        <w:pStyle w:val="TextBody"/>
        <w:bidi w:val="0"/>
        <w:spacing w:before="160" w:after="0"/>
        <w:jc w:val="left"/>
        <w:rPr>
          <w:rFonts w:ascii="arial" w:hAnsi="arial"/>
          <w:sz w:val="20"/>
        </w:rPr>
      </w:pPr>
      <w:r>
        <w:rPr>
          <w:rFonts w:ascii="arial" w:hAnsi="arial"/>
          <w:sz w:val="20"/>
        </w:rPr>
        <w:t xml:space="preserve">Our commercial success depends, in part, on our ability to develop, manufacture or commercialize our products and technologies without infringing, misappropriating or otherwise violating the proprietary rights and intellectual property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 </w:t>
      </w:r>
    </w:p>
    <w:p>
      <w:pPr>
        <w:pStyle w:val="TextBody"/>
        <w:bidi w:val="0"/>
        <w:spacing w:before="160" w:after="0"/>
        <w:jc w:val="left"/>
        <w:rPr>
          <w:rFonts w:ascii="arial" w:hAnsi="arial"/>
          <w:sz w:val="20"/>
        </w:rPr>
      </w:pPr>
      <w:r>
        <w:rPr>
          <w:rFonts w:ascii="arial" w:hAnsi="arial"/>
          <w:sz w:val="20"/>
        </w:rPr>
        <w:t xml:space="preserve">Third parties may initiate, and have in the past initiated, legal proceedings alleging that we are infringing, misappropriating or otherwise violating their intellectual property rights. For example, in November 2023, Olink Proteomics AB and Olink Proteomics, Inc. commenced litigation against us in the District of Delaware, Case No. 1:23-cv-1303-MN, alleging infringement of U.S. Patent No. 7,883,848 by our NULISA technology used with or without our ARGO platform. We filed a motion to dismiss, which the Court granted in part on February 11, 2025, without prejudice and with leave for Olink to file an amended complaint. The case was stayed pending the outcome of IPR2024-01353 and the Final Written Decision issued on March 4, 2026, described below. Olink filed an amended complaint, repleading its claims under U.S. Patent No. 7,883,848, on April 2, 2026. The outcome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such proceedings are uncertain and could have a negative impact on the success of our business. It is possible that U.S. and foreign patents and pending patent applications controlled by third parties may be alleged to cover our products and technologies, or that we may be accused of misappropriating third parties’ trade secrets or infringing third parties’ trademarks. We have in the past, and may in the future become party to, or be threatened with, adversarial proceedings or litigation regarding intellectual property rights with respect to our products or technologies, including interference proceedings, post grant review and </w:t>
      </w:r>
      <w:r>
        <w:rPr>
          <w:rFonts w:ascii="arial" w:hAnsi="arial"/>
          <w:i/>
          <w:sz w:val="20"/>
        </w:rPr>
        <w:t>inter partes</w:t>
      </w:r>
      <w:r>
        <w:rPr>
          <w:rFonts w:ascii="arial" w:hAnsi="arial"/>
          <w:sz w:val="20"/>
        </w:rPr>
        <w:t xml:space="preserve"> review before the USPTO or equivalent foreign regulatory authority. If we choose to challenge the patentability, validity or enforceability of any third-party patent that we believe may have applicability in our field, or any other third-party patent that may be asserted against us, there can be no assurance that any such challenge will be successful and if not successful, we may be estopped from asserting in a district court any grounds already raised or that could have been raised in certain proceedings, such as inter partes review at the USPTO. Even if such proceedings are successful, these proceedings are expensive and may consume our time or other resources, distract our management and technical personnel. For example, on August 23, 2024, we filed a Petition for Inter Partes Review challenging all claims of U.S. Patent No. 7,883,848. The PTAB instituted trial on all grounds raised in our Petition. On March 4, 2026, the PTAB issued a Final Written Decision finding that no claims of U.S. Patent No. 7,883,848 were unpatentable. We had 30 days from this decision to seek Rehearing, 30 days to seek Director Review, and have 63 days to file a notice of appeal to the United States Court of Appeals for the Federal Circuit. The parties submitted the required joint status report on April 6, 2026. We do intend to appeal the PTAB’s decision. The court lifted the stay of the Delaware district court litigation on April 7, 2026, which will allow the litigation to proceed. The litigation will require us to incur expenses to defend against the infringement claims and we may be estopped from asserting that U.S. Patent No. 7,883,848 is invalid on grounds that were raised or reasonably could have been raised in the IPR proceeding, limiting the available challenges we can raise in the district court litigation. We plan to move to dismiss Olink’s amended complaint by our deadline of May 7, 2026.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 </w:t>
      </w:r>
    </w:p>
    <w:p>
      <w:pPr>
        <w:pStyle w:val="TextBody"/>
        <w:bidi w:val="0"/>
        <w:spacing w:before="160" w:after="0"/>
        <w:jc w:val="left"/>
        <w:rPr>
          <w:rFonts w:ascii="arial" w:hAnsi="arial"/>
          <w:sz w:val="20"/>
        </w:rPr>
      </w:pPr>
      <w:r>
        <w:rPr>
          <w:rFonts w:ascii="arial" w:hAnsi="arial"/>
          <w:sz w:val="20"/>
        </w:rPr>
        <w:t xml:space="preserve">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and/or commercializing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infringing product or technologies.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 </w:t>
      </w:r>
    </w:p>
    <w:p>
      <w:pPr>
        <w:pStyle w:val="TextBody"/>
        <w:bidi w:val="0"/>
        <w:spacing w:before="160" w:after="0"/>
        <w:jc w:val="left"/>
        <w:rPr>
          <w:rFonts w:ascii="arial" w:hAnsi="arial"/>
          <w:sz w:val="20"/>
        </w:rPr>
      </w:pPr>
      <w:r>
        <w:rPr>
          <w:rFonts w:ascii="arial" w:hAnsi="arial"/>
          <w:sz w:val="20"/>
        </w:rPr>
        <w:t xml:space="preserve">A finding of infringement or an unfavorable interference or derivation proceedings outcome could prevent us from developing, manufacturing and/or commercializing our products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 </w:t>
      </w:r>
    </w:p>
    <w:p>
      <w:pPr>
        <w:pStyle w:val="TextBody"/>
        <w:bidi w:val="0"/>
        <w:spacing w:before="160" w:after="0"/>
        <w:jc w:val="left"/>
        <w:rPr>
          <w:rFonts w:ascii="arial" w:hAnsi="arial"/>
          <w:sz w:val="20"/>
        </w:rPr>
      </w:pPr>
      <w:r>
        <w:rPr>
          <w:rFonts w:ascii="arial" w:hAnsi="arial"/>
          <w:sz w:val="20"/>
        </w:rPr>
        <w:t xml:space="preserve">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technologies. </w:t>
      </w:r>
    </w:p>
    <w:p>
      <w:pPr>
        <w:pStyle w:val="TextBody"/>
        <w:bidi w:val="0"/>
        <w:spacing w:before="160" w:after="0"/>
        <w:jc w:val="left"/>
        <w:rPr>
          <w:rFonts w:ascii="arial" w:hAnsi="arial"/>
          <w:sz w:val="20"/>
        </w:rPr>
      </w:pPr>
      <w:r>
        <w:rPr>
          <w:rFonts w:ascii="arial" w:hAnsi="arial"/>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Additionally,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 </w:t>
      </w:r>
    </w:p>
    <w:p>
      <w:pPr>
        <w:pStyle w:val="TextBody"/>
        <w:bidi w:val="0"/>
        <w:spacing w:before="160" w:after="0"/>
        <w:jc w:val="left"/>
        <w:rPr>
          <w:rFonts w:ascii="arial" w:hAnsi="arial"/>
          <w:sz w:val="20"/>
        </w:rPr>
      </w:pPr>
      <w:r>
        <w:rPr>
          <w:rFonts w:ascii="arial" w:hAnsi="arial"/>
          <w:sz w:val="20"/>
        </w:rPr>
        <w:t xml:space="preserve">Any lawsuits relating to intellectual property rights could subject us to significant liability for damages and invalidate our intellectual property. Any intellectual property litigation also could force us to do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stop developing, making, selling or using products or technologies that allegedly infringe, misappropriate or otherwise violate the asserted intellectual property right;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pay substantial damages or royalties to the party whose intellectual property rights we may be found to be infringing, misappropriating or otherwise violating;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lose the opportunity to license our intellectual property rights to others or to collect royalty payments based upon successful protection and assertion of our intellectual property rights against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incur significant legal expenses;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pay the attorney’s fees and costs of litigation to the party whose intellectual property rights we may be found to be infringing, misappropriating or otherwise violating. </w:t>
            </w:r>
          </w:p>
        </w:tc>
      </w:tr>
    </w:tbl>
    <w:p>
      <w:pPr>
        <w:pStyle w:val="TextBody"/>
        <w:bidi w:val="0"/>
        <w:spacing w:before="160" w:after="0"/>
        <w:jc w:val="left"/>
        <w:rPr>
          <w:rFonts w:ascii="arial" w:hAnsi="arial"/>
          <w:sz w:val="20"/>
        </w:rPr>
      </w:pPr>
      <w:r>
        <w:rPr>
          <w:rFonts w:ascii="arial" w:hAnsi="arial"/>
          <w:sz w:val="20"/>
        </w:rPr>
        <w:t xml:space="preserve">Third parties may also raise similar claims before administrative bodies in the United States or abroad, even outside the context of litigation. Such mechanisms include re-examination, post grant review, </w:t>
      </w:r>
      <w:r>
        <w:rPr>
          <w:rFonts w:ascii="arial" w:hAnsi="arial"/>
          <w:i/>
          <w:sz w:val="20"/>
        </w:rPr>
        <w:t>inter partes</w:t>
      </w:r>
      <w:r>
        <w:rPr>
          <w:rFonts w:ascii="arial" w:hAnsi="arial"/>
          <w:sz w:val="20"/>
        </w:rPr>
        <w:t xml:space="preserve"> review and equivalent proceedings in foreign jurisdictions (for example, opposition proceedings). Such proceedings could result in revocation of or amendment to our patents in such a way that they no longer cover our products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 </w:t>
      </w:r>
    </w:p>
    <w:p>
      <w:pPr>
        <w:pStyle w:val="TextBody"/>
        <w:bidi w:val="0"/>
        <w:spacing w:before="160" w:after="0"/>
        <w:jc w:val="left"/>
        <w:rPr>
          <w:rFonts w:ascii="arial" w:hAnsi="arial"/>
          <w:b/>
          <w:i/>
          <w:sz w:val="20"/>
        </w:rPr>
      </w:pPr>
      <w:r>
        <w:rPr>
          <w:rFonts w:ascii="arial" w:hAnsi="arial"/>
          <w:b/>
          <w:i/>
          <w:sz w:val="20"/>
        </w:rPr>
        <w:t xml:space="preserve">We are involved in lawsuits to protect, enforce or defend our patents and other intellectual property rights, which are expensive, time consuming and could ultimately be unsuccessful. </w:t>
      </w:r>
    </w:p>
    <w:p>
      <w:pPr>
        <w:pStyle w:val="TextBody"/>
        <w:bidi w:val="0"/>
        <w:spacing w:before="160" w:after="0"/>
        <w:jc w:val="left"/>
        <w:rPr>
          <w:rFonts w:ascii="arial" w:hAnsi="arial"/>
          <w:sz w:val="20"/>
        </w:rPr>
      </w:pPr>
      <w:r>
        <w:rPr>
          <w:rFonts w:ascii="arial" w:hAnsi="arial"/>
          <w:sz w:val="20"/>
        </w:rPr>
        <w:t xml:space="preserve">In the past we have initiated, and we are currently involved in, litigation to defend our technology including technology developed through our significant investments in research and development. It is our general policy not to out-license our patents but to protect our sole right to own and practice them. There are inherent uncertainties in these legal matters, some of which are beyond management’s control, making the ultimate outcomes difficult to predict. See Note 12 to the consolidated financial statements included in this prospectus on information regarding certain legal proceedings in which we are involved. In addition to the litigation in Note 12, we may in the future be a party to other litigation or legal proceedings to protect, enforce or defend our patents or other intellectual property, which, if resolved adversely to us, could invalidate or render unenforceable our intellectual property or generally preclude us from restraining, enjoining or otherwise seeking to exclude competitors from commercializing products using technology developed or used by us.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example, our patents and any patents which we in-license may be challenged, narrowed, invalidated or circumvented. If patents we own or license are invalidated or otherwise limited, other companies may be better able to develop products that compete with ours, which would adversely affect our competitive position, business prospects, results of operations and financial condition. </w:t>
      </w:r>
    </w:p>
    <w:p>
      <w:pPr>
        <w:pStyle w:val="TextBody"/>
        <w:bidi w:val="0"/>
        <w:spacing w:before="160" w:after="0"/>
        <w:jc w:val="left"/>
        <w:rPr>
          <w:rFonts w:ascii="arial" w:hAnsi="arial"/>
          <w:sz w:val="20"/>
        </w:rPr>
      </w:pPr>
      <w:r>
        <w:rPr>
          <w:rFonts w:ascii="arial" w:hAnsi="arial"/>
          <w:sz w:val="20"/>
        </w:rPr>
        <w:t xml:space="preserve">The following are examples of litigation and other adversarial proceedings or disputes that we could become a party to involving our patents or patents licensed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initiate litigation or other proceedings against third parties to enforce our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third parties may initiate litigation or other proceedings seeking to invalidate patents owned by or licensed to us or to obtain a declaratory judgment that their product or technology does not infringe our patents or patents licensed to us or that such patents are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third parties may initiate oppositions, IPRs, post grant reviews or reexamination proceedings challenging the validity or scope of our patent rights, requiring us and/or licensors to participate in such proceedings to defend the validity and scope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there may be challenges or disputes regarding inventorship or ownership of patents currently identified as being owned by or licensed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at our initiation or at the initiation of a third-party, the USPTO may initiate an interference between patents or patent applications owned by or licensed to us and those of our competitors, requiring us and/or licensors to participate in an interference proceeding to determine the priority of invention, which could jeopardize our patent rights. </w:t>
            </w:r>
          </w:p>
        </w:tc>
      </w:tr>
    </w:tbl>
    <w:p>
      <w:pPr>
        <w:pStyle w:val="TextBody"/>
        <w:bidi w:val="0"/>
        <w:spacing w:before="160" w:after="0"/>
        <w:jc w:val="left"/>
        <w:rPr>
          <w:rFonts w:ascii="arial" w:hAnsi="arial"/>
          <w:b/>
          <w:i/>
          <w:sz w:val="20"/>
        </w:rPr>
      </w:pPr>
      <w:r>
        <w:rPr>
          <w:rFonts w:ascii="arial" w:hAnsi="arial"/>
          <w:b/>
          <w:i/>
          <w:sz w:val="20"/>
        </w:rPr>
        <w:t xml:space="preserve">If we fail to execute invention assignment agreements with our employees and contractors involved in the development of intellectual property rights or are unable to protect the confidentiality of our trade secrets, the value of our products and technologies and our business and competitive position could be harmed. </w:t>
      </w:r>
    </w:p>
    <w:p>
      <w:pPr>
        <w:pStyle w:val="TextBody"/>
        <w:bidi w:val="0"/>
        <w:spacing w:before="160" w:after="0"/>
        <w:jc w:val="left"/>
        <w:rPr>
          <w:rFonts w:ascii="arial" w:hAnsi="arial"/>
          <w:sz w:val="20"/>
        </w:rPr>
      </w:pPr>
      <w:r>
        <w:rPr>
          <w:rFonts w:ascii="arial" w:hAnsi="arial"/>
          <w:sz w:val="20"/>
        </w:rPr>
        <w:t xml:space="preserve">In addition to patent protection, we also rely on other intellectual property rights, including protection of copyright, trade secrets, know-how and/or other proprietary information that is not patentable or that we elect not to patent. </w:t>
      </w:r>
    </w:p>
    <w:p>
      <w:pPr>
        <w:pStyle w:val="TextBody"/>
        <w:bidi w:val="0"/>
        <w:spacing w:before="160" w:after="0"/>
        <w:jc w:val="left"/>
        <w:rPr>
          <w:rFonts w:ascii="arial" w:hAnsi="arial"/>
          <w:sz w:val="20"/>
        </w:rPr>
      </w:pPr>
      <w:r>
        <w:rPr>
          <w:rFonts w:ascii="arial" w:hAnsi="arial"/>
          <w:sz w:val="20"/>
        </w:rPr>
        <w:t xml:space="preserve">However, trade secrets can be difficult to protect, and some courts are less willing or unwilling to protect trade secrets. To maintain the confidentiality of our trade secrets and proprietary information, we rely considerably on confidentiality provisions that we have in contracts with our employees, consultants, advisors, collaborators and other third parties. We generally enter into confidentiality and invention assignment agreements with our employees, consultants and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advisors, collaborators and third parties who have been involved in the development of our intellectual property rights. Although we generally require all of our employees, consultants, advisors, collaborators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advisors, collaborators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collaborators or third parties, despite the existence generally of these confidentiality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collaborators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w:t>
      </w:r>
    </w:p>
    <w:p>
      <w:pPr>
        <w:pStyle w:val="TextBody"/>
        <w:bidi w:val="0"/>
        <w:spacing w:before="160" w:after="0"/>
        <w:jc w:val="left"/>
        <w:rPr>
          <w:rFonts w:ascii="arial" w:hAnsi="arial"/>
          <w:sz w:val="20"/>
        </w:rPr>
      </w:pPr>
      <w:r>
        <w:rPr>
          <w:rFonts w:ascii="arial" w:hAnsi="arial"/>
          <w:sz w:val="20"/>
        </w:rPr>
        <w:t xml:space="preserve">Costly and time-consuming litigation could be necessary to enforce and determine the scope of our trade secret rights and related confidentiality and nondisclosure provisions, and outcomes are unpredictable.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w:t>
      </w:r>
    </w:p>
    <w:p>
      <w:pPr>
        <w:pStyle w:val="TextBody"/>
        <w:bidi w:val="0"/>
        <w:spacing w:before="160" w:after="0"/>
        <w:jc w:val="left"/>
        <w:rPr>
          <w:rFonts w:ascii="arial" w:hAnsi="arial"/>
          <w:sz w:val="20"/>
        </w:rPr>
      </w:pPr>
      <w:r>
        <w:rPr>
          <w:rFonts w:ascii="arial" w:hAnsi="arial"/>
          <w:sz w:val="20"/>
        </w:rPr>
        <w:t xml:space="preserve">In addition to contractual measures, we try to protect the confidential nature of our proprietary information by maintaining physical security of our premises and electronic security of our information technology systems. Such security measures may not provide adequate protection for our proprietary information if, for example, a trade secret is misappropriated by an employee, consultant, advisor, collaborator or other third party with authorized access. Our security measures may not prevent an employee, consultant, advisor, collaborator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Although we take reasonable steps in accordance with normal industry practice,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depend on certain technologies that are licensed to us. We do not control these technologies and any loss of our rights to them could prevent us from selling our products. </w:t>
      </w:r>
    </w:p>
    <w:p>
      <w:pPr>
        <w:pStyle w:val="TextBody"/>
        <w:bidi w:val="0"/>
        <w:spacing w:before="160" w:after="0"/>
        <w:jc w:val="left"/>
        <w:rPr>
          <w:rFonts w:ascii="arial" w:hAnsi="arial"/>
          <w:sz w:val="20"/>
        </w:rPr>
      </w:pPr>
      <w:r>
        <w:rPr>
          <w:rFonts w:ascii="arial" w:hAnsi="arial"/>
          <w:sz w:val="20"/>
        </w:rPr>
        <w:t xml:space="preserve">We license antibodies and antigens from third parties in order to be able to use our various proprietary consumable kit products. We do not own the patents that are the subject matter of these licenses. Our rights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use these patented technologies in our business are subject to the continuation of and compliance with the terms of those licenses. In particular, we license the majority of our antibodies and antigens from Abcam Inc. pursuant to a Research Use Only Affinity Reagent Supply Agreement, as amended, and if such agreement were terminated or renegotiated on less favorable terms, entering into a new agreement with different vendors could be costly and cause delays in our ability to meet customer demand for our instrument and kit consumable products. See the section titled “Business—Supply agreements—Abcam Supply Agreement” for further details. </w:t>
      </w:r>
    </w:p>
    <w:p>
      <w:pPr>
        <w:pStyle w:val="TextBody"/>
        <w:bidi w:val="0"/>
        <w:spacing w:before="160" w:after="0"/>
        <w:jc w:val="left"/>
        <w:rPr>
          <w:rFonts w:ascii="arial" w:hAnsi="arial"/>
          <w:sz w:val="20"/>
        </w:rPr>
      </w:pPr>
      <w:r>
        <w:rPr>
          <w:rFonts w:ascii="arial" w:hAnsi="arial"/>
          <w:sz w:val="20"/>
        </w:rPr>
        <w:t xml:space="preserve">We may identify third-party technology that we may need to license or acquire in order to develop or commercialize our products, services or technologies.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before="160" w:after="0"/>
        <w:jc w:val="left"/>
        <w:rPr>
          <w:rFonts w:ascii="arial" w:hAnsi="arial"/>
          <w:sz w:val="20"/>
        </w:rPr>
      </w:pPr>
      <w:r>
        <w:rPr>
          <w:rFonts w:ascii="arial" w:hAnsi="arial"/>
          <w:sz w:val="20"/>
        </w:rPr>
        <w:t xml:space="preserve">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obtain rights under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or not infringed. Any of the foregoing could have a material adverse effect on our competitive position, business, financial conditions, results of operations and prospects. </w:t>
      </w:r>
    </w:p>
    <w:p>
      <w:pPr>
        <w:pStyle w:val="TextBody"/>
        <w:bidi w:val="0"/>
        <w:spacing w:before="160" w:after="0"/>
        <w:jc w:val="left"/>
        <w:rPr>
          <w:rFonts w:ascii="arial" w:hAnsi="arial"/>
          <w:b/>
          <w:i/>
          <w:sz w:val="20"/>
        </w:rPr>
      </w:pPr>
      <w:r>
        <w:rPr>
          <w:rFonts w:ascii="arial" w:hAnsi="arial"/>
          <w:b/>
          <w:i/>
          <w:sz w:val="20"/>
        </w:rPr>
        <w:t xml:space="preserve">We may be subject to claims that we or our employees have misappropriated the intellectual property rights of a third party, including trade secrets or know-how, or are in breach of non-competition or non-solicitation agreements with our competitors. </w:t>
      </w:r>
    </w:p>
    <w:p>
      <w:pPr>
        <w:pStyle w:val="TextBody"/>
        <w:bidi w:val="0"/>
        <w:spacing w:before="160" w:after="0"/>
        <w:jc w:val="left"/>
        <w:rPr>
          <w:rFonts w:ascii="arial" w:hAnsi="arial"/>
          <w:sz w:val="20"/>
        </w:rPr>
      </w:pPr>
      <w:r>
        <w:rPr>
          <w:rFonts w:ascii="arial" w:hAnsi="arial"/>
          <w:sz w:val="20"/>
        </w:rPr>
        <w:t xml:space="preserve">We may be subject to claims that our employees or consultants have wrongfully used for our benefit or disclosed to us confidential information, including trade secrets or know-how, of third parties. At least some of our employees and consultants were previously employed at or engaged by other life science or medical device companies, including our competitors or potential competitors. Some of these employees and consultants may have executed confidential information non-disclosure and inventions assignment agreements and non-competition agreements in connection with such previous employment or engagements. Although we try to ensure that our employees and consultants do not use the intellectual property rights, proprietary information, know-how or trade secrets of others in conducting or performing their work for us, we may be subject to claims that we or these individuals have, inadvertently or otherwise, misappropriated the intellectual property rights or disclosed the alleged trade secrets or other proprietary information, of these former employers, clients or other third parties. To the extent that our employees or consultants use intellectual property rights or proprietary information owned by others in their work for us, disputes may arise as to the rights in any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 </w:t>
      </w:r>
    </w:p>
    <w:p>
      <w:pPr>
        <w:pStyle w:val="TextBody"/>
        <w:bidi w:val="0"/>
        <w:spacing w:before="160" w:after="0"/>
        <w:jc w:val="left"/>
        <w:rPr>
          <w:rFonts w:ascii="arial" w:hAnsi="arial"/>
          <w:b/>
          <w:i/>
          <w:sz w:val="20"/>
        </w:rPr>
      </w:pPr>
      <w:r>
        <w:rPr>
          <w:rFonts w:ascii="arial" w:hAnsi="arial"/>
          <w:b/>
          <w:i/>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covering our products, services or technology, we may not be able to stop a competitor from marketing products, services or technologies that are the same as or similar to our products, services or technologies which would have a material adverse effect on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Changes in patent law or the organizational changes to the USPTO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 </w:t>
      </w:r>
    </w:p>
    <w:p>
      <w:pPr>
        <w:pStyle w:val="TextBody"/>
        <w:bidi w:val="0"/>
        <w:spacing w:before="160" w:after="0"/>
        <w:jc w:val="left"/>
        <w:rPr>
          <w:rFonts w:ascii="arial" w:hAnsi="arial"/>
          <w:sz w:val="20"/>
        </w:rPr>
      </w:pPr>
      <w:r>
        <w:rPr>
          <w:rFonts w:ascii="arial" w:hAnsi="arial"/>
          <w:sz w:val="20"/>
        </w:rPr>
        <w:t xml:space="preserve">Our ability to obtain patents and the breadth of any patents obtained is uncertain in part because, to date, some legal principles, or interpretations of those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 </w:t>
      </w:r>
    </w:p>
    <w:p>
      <w:pPr>
        <w:pStyle w:val="TextBody"/>
        <w:bidi w:val="0"/>
        <w:spacing w:before="160" w:after="0"/>
        <w:jc w:val="left"/>
        <w:rPr>
          <w:rFonts w:ascii="arial" w:hAnsi="arial"/>
          <w:sz w:val="20"/>
        </w:rPr>
      </w:pPr>
      <w:r>
        <w:rPr>
          <w:rFonts w:ascii="arial" w:hAnsi="arial"/>
          <w:sz w:val="20"/>
        </w:rPr>
        <w:t xml:space="preserve">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w:t>
      </w:r>
    </w:p>
    <w:p>
      <w:pPr>
        <w:pStyle w:val="TextBody"/>
        <w:bidi w:val="0"/>
        <w:spacing w:before="160" w:after="0"/>
        <w:jc w:val="left"/>
        <w:rPr>
          <w:rFonts w:ascii="arial" w:hAnsi="arial"/>
          <w:sz w:val="20"/>
        </w:rPr>
      </w:pPr>
      <w:r>
        <w:rPr>
          <w:rFonts w:ascii="arial" w:hAnsi="arial"/>
          <w:sz w:val="20"/>
        </w:rPr>
        <w:t xml:space="preserve">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 </w:t>
      </w:r>
    </w:p>
    <w:p>
      <w:pPr>
        <w:pStyle w:val="TextBody"/>
        <w:bidi w:val="0"/>
        <w:spacing w:before="160" w:after="0"/>
        <w:jc w:val="left"/>
        <w:rPr>
          <w:rFonts w:ascii="arial" w:hAnsi="arial"/>
          <w:sz w:val="20"/>
        </w:rPr>
      </w:pPr>
      <w:r>
        <w:rPr>
          <w:rFonts w:ascii="arial" w:hAnsi="arial"/>
          <w:sz w:val="20"/>
        </w:rPr>
        <w:t xml:space="preserve">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USPTO during patent prosecution and additional procedures to challenge the validity of a patent by USPTO administered post-grant proceedings, including post-grant review, </w:t>
      </w:r>
      <w:r>
        <w:rPr>
          <w:rFonts w:ascii="arial" w:hAnsi="arial"/>
          <w:i/>
          <w:sz w:val="20"/>
        </w:rPr>
        <w:t>inter partes</w:t>
      </w:r>
      <w:r>
        <w:rPr>
          <w:rFonts w:ascii="arial" w:hAnsi="arial"/>
          <w:sz w:val="20"/>
        </w:rPr>
        <w:t xml:space="preserve"> review and derivation proceedings. The America Invents Act and its implementation could increase the uncertainties and costs surrounding the prosecution of our patent applications and future patent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applications, and the enforcement or defense of our issued patents, all of which could have a material adverse effect on our business, financial condition, results of operations and prospects. By way of example,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and other proprietary technologies we may develop or (ii) invent any of the inventions claimed in our patents or patent applications. </w:t>
      </w:r>
    </w:p>
    <w:p>
      <w:pPr>
        <w:pStyle w:val="TextBody"/>
        <w:bidi w:val="0"/>
        <w:spacing w:before="160" w:after="0"/>
        <w:jc w:val="left"/>
        <w:rPr>
          <w:rFonts w:ascii="arial" w:hAnsi="arial"/>
          <w:sz w:val="20"/>
        </w:rPr>
      </w:pPr>
      <w:r>
        <w:rPr>
          <w:rFonts w:ascii="arial" w:hAnsi="arial"/>
          <w:sz w:val="20"/>
        </w:rPr>
        <w:t xml:space="preserve">Various courts, including the U.S. Supreme Court, have rendered decisions that impact the scope of patentability of certain inventions or discoveries relating to the life sciences.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and has been subject to evolving regulatory guidance which indicates that claims directed to a law of nature, a natural phenomenon or an abstract idea that do not meet the eligibility requirements should be rejected as non-statutory, patent ineligible subject matter; however, claims that integrate a natural law or natural relationship into a specific practical application could be considered patent eligible. We cannot assure you that our patent portfolio will not be negatively impacted by the current uncertain state of the law, new court rulings or changes in guidance or procedures issued by the USPTO. From time to time, the U.S. Supreme Court, other federal courts, the U.S. Congress or the USPTO may change the standards of patentability and validity of patents within the life sciences and any such changes could have a negative impact on our business. </w:t>
      </w:r>
    </w:p>
    <w:p>
      <w:pPr>
        <w:pStyle w:val="TextBody"/>
        <w:bidi w:val="0"/>
        <w:spacing w:before="160" w:after="0"/>
        <w:jc w:val="left"/>
        <w:rPr>
          <w:rFonts w:ascii="arial" w:hAnsi="arial"/>
          <w:sz w:val="20"/>
        </w:rPr>
      </w:pPr>
      <w:r>
        <w:rPr>
          <w:rFonts w:ascii="arial" w:hAnsi="arial"/>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Our ability to protect our intellectual property rights in those countries may be limited,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 </w:t>
      </w:r>
    </w:p>
    <w:p>
      <w:pPr>
        <w:pStyle w:val="TextBody"/>
        <w:bidi w:val="0"/>
        <w:spacing w:before="160" w:after="0"/>
        <w:jc w:val="left"/>
        <w:rPr>
          <w:rFonts w:ascii="arial" w:hAnsi="arial"/>
          <w:sz w:val="20"/>
        </w:rPr>
      </w:pPr>
      <w:r>
        <w:rPr>
          <w:rFonts w:ascii="arial" w:hAnsi="arial"/>
          <w:sz w:val="20"/>
        </w:rPr>
        <w:t xml:space="preserve">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A number of countries in which both we and our distributors operate have been identified in the reports as being on the Priority Watch List.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 </w:t>
      </w:r>
    </w:p>
    <w:p>
      <w:pPr>
        <w:pStyle w:val="TextBody"/>
        <w:bidi w:val="0"/>
        <w:spacing w:before="160" w:after="0"/>
        <w:jc w:val="left"/>
        <w:rPr>
          <w:rFonts w:ascii="arial" w:hAnsi="arial"/>
          <w:sz w:val="20"/>
        </w:rPr>
      </w:pPr>
      <w:r>
        <w:rPr>
          <w:rFonts w:ascii="arial" w:hAnsi="arial"/>
          <w:sz w:val="20"/>
        </w:rPr>
        <w:t xml:space="preserve">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which could impair our competitive intellectual property position. For example, the United States and foreign government actions related to Russia’s conflict in Ukraine may limit or prevent filing, prosecution, and maintenance of patent applications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w:t>
      </w:r>
    </w:p>
    <w:p>
      <w:pPr>
        <w:pStyle w:val="TextBody"/>
        <w:bidi w:val="0"/>
        <w:spacing w:before="160" w:after="0"/>
        <w:jc w:val="left"/>
        <w:rPr>
          <w:rFonts w:ascii="arial" w:hAnsi="arial"/>
          <w:sz w:val="20"/>
        </w:rPr>
      </w:pPr>
      <w:r>
        <w:rPr>
          <w:rFonts w:ascii="arial" w:hAnsi="arial"/>
          <w:sz w:val="20"/>
        </w:rPr>
        <w:t xml:space="preserve">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applications by the USPTO, which could delay the issuance of any U.S. patents to which we might otherwise be entitled. </w:t>
      </w:r>
    </w:p>
    <w:p>
      <w:pPr>
        <w:pStyle w:val="TextBody"/>
        <w:bidi w:val="0"/>
        <w:spacing w:before="160" w:after="0"/>
        <w:jc w:val="left"/>
        <w:rPr>
          <w:rFonts w:ascii="arial" w:hAnsi="arial"/>
          <w:b/>
          <w:i/>
          <w:sz w:val="20"/>
        </w:rPr>
      </w:pPr>
      <w:r>
        <w:rPr>
          <w:rFonts w:ascii="arial" w:hAnsi="arial"/>
          <w:b/>
          <w:i/>
          <w:sz w:val="20"/>
        </w:rPr>
        <w:t xml:space="preserve">Intellectual property rights do not necessarily address all potential threats to our competitive advantage. </w:t>
      </w:r>
    </w:p>
    <w:p>
      <w:pPr>
        <w:pStyle w:val="TextBody"/>
        <w:bidi w:val="0"/>
        <w:spacing w:before="160" w:after="0"/>
        <w:jc w:val="left"/>
        <w:rPr>
          <w:rFonts w:ascii="arial" w:hAnsi="arial"/>
          <w:sz w:val="20"/>
        </w:rPr>
      </w:pPr>
      <w:r>
        <w:rPr>
          <w:rFonts w:ascii="arial" w:hAnsi="arial"/>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others may independently develop, manufacture and commercialize products, services or technologies that are similar to or are alternatives or duplicates of any of our products, services or technologies without infringing, misappropriating or otherwise violating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issued patents that we hold rights to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it is possible that our pending patent applications or those that we may own in the future will not lead to issued patents or even when they issue, the scope of the claims may be narrowed;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our competitors might conduct research and development activities in countries where we do not have patent rights and then use the information learned from such activities to develop, manufacture and commercialize competitive products, services or technologies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or current or future licensors or collaborators, might not have been the first to make the inventions covered by the issued patent or pending or future patent application that we license or may own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or current or future licensors or collaborators, might not have been the first to file patent applications covering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may not develop additional proprietary technologies that are patentable or we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intellectual property rights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choose not to seek patent protection for some of our proprietary technology to maintain certain trade secrets or know-how, and a third party may subsequently file a patent covering such trade secrets or know-how, resulting in a loss of protection of such trade secret. </w:t>
            </w:r>
          </w:p>
        </w:tc>
      </w:tr>
    </w:tbl>
    <w:p>
      <w:pPr>
        <w:pStyle w:val="TextBody"/>
        <w:bidi w:val="0"/>
        <w:spacing w:before="160" w:after="0"/>
        <w:jc w:val="left"/>
        <w:rPr>
          <w:rFonts w:ascii="arial" w:hAnsi="arial"/>
          <w:b/>
          <w:i/>
          <w:sz w:val="20"/>
        </w:rPr>
      </w:pPr>
      <w:r>
        <w:rPr>
          <w:rFonts w:ascii="arial" w:hAnsi="arial"/>
          <w:b/>
          <w:i/>
          <w:sz w:val="20"/>
        </w:rPr>
        <w:t xml:space="preserve">If our trademarks and trade names are not adequately protected, we may not be able to build name recognition in our markets of interest and our competitive position may be harmed. </w:t>
      </w:r>
    </w:p>
    <w:p>
      <w:pPr>
        <w:pStyle w:val="TextBody"/>
        <w:bidi w:val="0"/>
        <w:spacing w:before="160" w:after="0"/>
        <w:jc w:val="left"/>
        <w:rPr>
          <w:rFonts w:ascii="arial" w:hAnsi="arial"/>
          <w:sz w:val="20"/>
        </w:rPr>
      </w:pPr>
      <w:r>
        <w:rPr>
          <w:rFonts w:ascii="arial" w:hAnsi="arial"/>
          <w:sz w:val="20"/>
        </w:rPr>
        <w:t xml:space="preserve">Our registered or unregistered trademarks or trade names could be challenged, invalidated, infringed and circumvented by third parties, and our trademarks could also be diluted, weakened, declared generic, prevented from obtaining full protection or found to be infringing on other marks. If any of the foregoing occurs, we could be forced to re-brand our products, services or technologies, resulting in loss of brand recognition, suffer other competitive harm and we may be required to expend significant additional resources in an effort to identify a suitable substitute name that would qualify under applicable trademark laws, not infringe, misappropriate, or otherwise violate the existing rights of third parties. Third parties may also adopt trademarks similar to ours, which could harm our brand identity and lead to market confusion. Further, there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rely on our trademarks, trade names and brand names, such as our ALAMAR, ALAMAR BIOSCIENCES, ARGO, NULISA, and NULISASEQ marks, to distinguish our products, services and technologies from the products, services and technologies of our competitors, and have applied to register many of these trademarks in the United States. We have not yet, however,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 </w:t>
      </w:r>
    </w:p>
    <w:p>
      <w:pPr>
        <w:pStyle w:val="TextBody"/>
        <w:bidi w:val="0"/>
        <w:spacing w:before="160" w:after="0"/>
        <w:jc w:val="left"/>
        <w:rPr>
          <w:rFonts w:ascii="arial" w:hAnsi="arial"/>
          <w:b/>
          <w:i/>
          <w:sz w:val="20"/>
        </w:rPr>
      </w:pPr>
      <w:r>
        <w:rPr>
          <w:rFonts w:ascii="arial" w:hAnsi="arial"/>
          <w:b/>
          <w:i/>
          <w:sz w:val="20"/>
        </w:rPr>
        <w:t xml:space="preserve">Our solutions contain third-party open source software components and our internal controls designed to mitigate copyleft disclosure risks and compliance with the terms of the underlying open source software licenses could restrict our ability to sell our products. </w:t>
      </w:r>
    </w:p>
    <w:p>
      <w:pPr>
        <w:pStyle w:val="TextBody"/>
        <w:bidi w:val="0"/>
        <w:spacing w:before="160" w:after="0"/>
        <w:jc w:val="left"/>
        <w:rPr>
          <w:rFonts w:ascii="arial" w:hAnsi="arial"/>
          <w:sz w:val="20"/>
        </w:rPr>
      </w:pPr>
      <w:r>
        <w:rPr>
          <w:rFonts w:ascii="arial" w:hAnsi="arial"/>
          <w:sz w:val="20"/>
        </w:rPr>
        <w:t xml:space="preserve">Our solutions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Although we maintain policies and internal controls intended to prevent the incorporation or distribution of open source software that would require disclosure of our proprietary source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fail to adhere to our internal policies and controls regarding open source software and use and distribute our proprietary software with open source software in a manner that would require disclosure,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bidi w:val="0"/>
        <w:spacing w:before="160" w:after="0"/>
        <w:jc w:val="left"/>
        <w:rPr>
          <w:rFonts w:ascii="arial" w:hAnsi="arial"/>
          <w:sz w:val="20"/>
        </w:rPr>
      </w:pPr>
      <w:r>
        <w:rPr>
          <w:rFonts w:ascii="arial" w:hAnsi="arial"/>
          <w:sz w:val="20"/>
        </w:rPr>
        <w:t xml:space="preserve">Although we typically review our use of open source software to avoid subjecting our solutions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solutions. Moreover, our processes for monitoring and controlling our use of open source software in our solutions may not be effective. If we are held to have breached the terms of an open source software license, we could be required to seek licenses from third parties to continue offering our solutions on terms that are not economically feasible, to re-engineer our solutions, to discontinue the sale of our solutions if re-engineering could not be accomplished on a timely basis, to pay statutory or other damages to the license holder or to make generally available, in source code form, our proprietary code, any of which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In addition, because open source software is often developed collaboratively and made publicly available, it may contain security vulnerabilities or other defects that could be exploited by third parties, potentially introducing security risks to our platform and systems. While we conduct diligence and implement review processes intended to monitor and manage our use of open source software, these processes may not identify all license obligations, conflicts or security issues, may not be applied consistently across our organization, and may not keep pace with the volume and complexity of open source usage in our development practices. </w:t>
      </w:r>
    </w:p>
    <w:p>
      <w:pPr>
        <w:pStyle w:val="TextBody"/>
        <w:bidi w:val="0"/>
        <w:spacing w:before="160" w:after="0"/>
        <w:jc w:val="left"/>
        <w:rPr>
          <w:rFonts w:ascii="arial" w:hAnsi="arial"/>
          <w:b/>
          <w:i/>
          <w:sz w:val="20"/>
        </w:rPr>
      </w:pPr>
      <w:r>
        <w:rPr>
          <w:rFonts w:ascii="arial" w:hAnsi="arial"/>
          <w:b/>
          <w:i/>
          <w:sz w:val="20"/>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before="160" w:after="0"/>
        <w:jc w:val="left"/>
        <w:rPr>
          <w:rFonts w:ascii="arial" w:hAnsi="arial"/>
          <w:sz w:val="20"/>
        </w:rPr>
      </w:pPr>
      <w:r>
        <w:rPr>
          <w:rFonts w:ascii="arial" w:hAnsi="arial"/>
          <w:sz w:val="20"/>
        </w:rPr>
        <w:t xml:space="preserve">In the ordinary course of business, we and the third parties with whom we work collect, receive, store, process, generate, use, transfer, disclose, make accessible, protect, secure, dispose of, transmit and share (collectively, “process”) personal data and other sensitive information, including human proteomic data, proprietary and confidential business data, trade secrets, intellectual property, sensitive third-party data and business plans (collectively, “sensitive data”). </w:t>
      </w:r>
    </w:p>
    <w:p>
      <w:pPr>
        <w:pStyle w:val="TextBody"/>
        <w:bidi w:val="0"/>
        <w:spacing w:before="160" w:after="0"/>
        <w:jc w:val="left"/>
        <w:rPr>
          <w:rFonts w:ascii="arial" w:hAnsi="arial"/>
          <w:sz w:val="20"/>
        </w:rPr>
      </w:pPr>
      <w:r>
        <w:rPr>
          <w:rFonts w:ascii="arial" w:hAnsi="arial"/>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60" w:after="0"/>
        <w:jc w:val="left"/>
        <w:rPr>
          <w:rFonts w:ascii="arial" w:hAnsi="arial"/>
          <w:sz w:val="20"/>
        </w:rPr>
      </w:pPr>
      <w:r>
        <w:rPr>
          <w:rFonts w:ascii="arial" w:hAnsi="arial"/>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While we do not believe that we are currently acting as a covered entity or business associate under HIPAA and thus are not directly regulated under HIPAA, we have or will enter into arrangements with healthcare providers who are subject to HIPAA which will affect the manner in which we may receive and process individually identifiable health information. Further, any person may be prosecuted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other federal and state laws establish and may in the future establish requirements for protecting the privacy and security of health information that is not protected by HIPAA. </w:t>
      </w:r>
    </w:p>
    <w:p>
      <w:pPr>
        <w:pStyle w:val="TextBody"/>
        <w:bidi w:val="0"/>
        <w:spacing w:before="160" w:after="0"/>
        <w:jc w:val="left"/>
        <w:rPr>
          <w:rFonts w:ascii="arial" w:hAnsi="arial"/>
          <w:sz w:val="20"/>
        </w:rPr>
      </w:pPr>
      <w:r>
        <w:rPr>
          <w:rFonts w:ascii="arial" w:hAnsi="arial"/>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w:t>
      </w:r>
    </w:p>
    <w:p>
      <w:pPr>
        <w:pStyle w:val="TextBody"/>
        <w:bidi w:val="0"/>
        <w:spacing w:before="160" w:after="0"/>
        <w:jc w:val="left"/>
        <w:rPr>
          <w:rFonts w:ascii="arial" w:hAnsi="arial"/>
          <w:sz w:val="20"/>
        </w:rPr>
      </w:pPr>
      <w:r>
        <w:rPr>
          <w:rFonts w:ascii="arial" w:hAnsi="arial"/>
          <w:sz w:val="20"/>
        </w:rPr>
        <w:t xml:space="preserve">These developments may further complicate compliance efforts and increase legal risk and compliance costs for us and the third parties upon whom we rely. Similar laws are being considered in several other states, as well as at the international, federal and local levels, and we expect more states to pass similar laws in the future. </w:t>
      </w:r>
    </w:p>
    <w:p>
      <w:pPr>
        <w:pStyle w:val="TextBody"/>
        <w:bidi w:val="0"/>
        <w:spacing w:before="160" w:after="0"/>
        <w:jc w:val="left"/>
        <w:rPr>
          <w:rFonts w:ascii="arial" w:hAnsi="arial"/>
          <w:sz w:val="20"/>
        </w:rPr>
      </w:pPr>
      <w:r>
        <w:rPr>
          <w:rFonts w:ascii="arial" w:hAnsi="arial"/>
          <w:sz w:val="20"/>
        </w:rPr>
        <w:t xml:space="preserve">Outside the United States, an increasing number of laws, regulations, and industry standards may govern data privacy and security. For example, the European Union’s General Data Protection Regulation (“EU GDPR”), the United Kingdom’s GDPR (“UK GDPR” and together with the EU GDPR, the “GDPR”), Brazil’s General Data Protection Law (Lei Geral de Proteção de Dados Pessoais, or “LGPD”) (Law No. 13,709/2018), Australia’s Privacy Act, and India’s Information Technology Act and supplementary rules impose strict requirements for processing personal data. The GDPR imposes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EEA and the UK. </w:t>
      </w:r>
    </w:p>
    <w:p>
      <w:pPr>
        <w:pStyle w:val="TextBody"/>
        <w:bidi w:val="0"/>
        <w:spacing w:before="160" w:after="0"/>
        <w:jc w:val="left"/>
        <w:rPr>
          <w:rFonts w:ascii="arial" w:hAnsi="arial"/>
          <w:sz w:val="20"/>
        </w:rPr>
      </w:pPr>
      <w:r>
        <w:rPr>
          <w:rFonts w:ascii="arial" w:hAnsi="arial"/>
          <w:sz w:val="20"/>
        </w:rPr>
        <w:t xml:space="preserve">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the EU, the Network and Information Security Directive (“NIS2”) regulates resilience and incident response capabilities of entities operating in a number of sectors, including certain entities operating in the health sector. Non-compliance with NIS2 may lead up to administrative fines of a maximum of 10 million Euros or up to 2% of the total worldwide revenue of the preceding fiscal year. </w:t>
      </w:r>
    </w:p>
    <w:p>
      <w:pPr>
        <w:pStyle w:val="TextBody"/>
        <w:bidi w:val="0"/>
        <w:spacing w:before="160" w:after="0"/>
        <w:jc w:val="left"/>
        <w:rPr>
          <w:rFonts w:ascii="arial" w:hAnsi="arial"/>
          <w:sz w:val="20"/>
        </w:rPr>
      </w:pPr>
      <w:r>
        <w:rPr>
          <w:rFonts w:ascii="arial" w:hAnsi="arial"/>
          <w:sz w:val="20"/>
        </w:rPr>
        <w:t xml:space="preserve">We also target customers in Asia and may be subject to new and emerging data privacy regimes in Asia, including China’s Personal Information Protection Law (“PIPL”) and various data laws in China, Japan’s Act on the Protection of Personal Information, and Singapore’s Personal Data Protection Act. For example, China’s PIPL imposes a set of specific obligations on covered businesses in connection with their processing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transfer of personal data and requires data processors to rely on a data export mechanism and comply with certain requirements prior to the transfer of personal information outside of China, such as compliance with a security assessment, certification by an agency designated by the relevant authorities or entering into standard form model contracts approved by the relevant authorities with the overseas recipient, unless an exemption applies. The PIPL, together with other data laws in China, impose data localization requirements for critical information infrastructure operators and personal information processors who process personal information above a certain threshold prescribed by the relevant authorities, unless a security assessment is passed. Failure to comply with the PIPL can result in fines of up to RMB 50 million or 5% of the prior year’s total annual revenue of the violator.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w:t>
      </w:r>
    </w:p>
    <w:p>
      <w:pPr>
        <w:pStyle w:val="TextBody"/>
        <w:bidi w:val="0"/>
        <w:spacing w:before="160" w:after="0"/>
        <w:jc w:val="left"/>
        <w:rPr>
          <w:rFonts w:ascii="arial" w:hAnsi="arial"/>
          <w:sz w:val="20"/>
        </w:rPr>
      </w:pPr>
      <w:r>
        <w:rPr>
          <w:rFonts w:ascii="arial" w:hAnsi="arial"/>
          <w:sz w:val="20"/>
        </w:rPr>
        <w:t xml:space="preserve">In addition, we may be unable to transfer personal data from Europe and other jurisdictions to the United States or other countries due to data localization requirements or limitations on cross-border data flows. Certain jurisdictions have enacted laws requiring data to be localized or limiting the transfer of personal data to other countries. In particular, in the European Economic Area (EEA) and the United Kingdom (UK), the EU GDPR and UK GDPR respectively restrict the transfer of personal data to the United States and other countries whose privacy laws generally believed to be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160" w:after="0"/>
        <w:jc w:val="left"/>
        <w:rPr>
          <w:rFonts w:ascii="arial" w:hAnsi="arial"/>
          <w:sz w:val="20"/>
        </w:rPr>
      </w:pPr>
      <w:r>
        <w:rPr>
          <w:rFonts w:ascii="arial" w:hAnsi="arial"/>
          <w:sz w:val="20"/>
        </w:rPr>
        <w:t xml:space="preserve">Additionally, the U.S. Department of Justice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arrangements, partnership engagements, sale or sharing of data, employment of certain individuals and investor agreements. Violations of the rule could lead to significant civil and criminal fines and penalties. We have engaged in the past and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 anonymized, key-coded, pseudonymized, de-identified or encrypted, which presents particular challenges for companies like ours and may impact our ability to enter into certain agreements. </w:t>
      </w:r>
    </w:p>
    <w:p>
      <w:pPr>
        <w:pStyle w:val="TextBody"/>
        <w:bidi w:val="0"/>
        <w:spacing w:before="160" w:after="0"/>
        <w:jc w:val="left"/>
        <w:rPr>
          <w:rFonts w:ascii="arial" w:hAnsi="arial"/>
          <w:sz w:val="20"/>
        </w:rPr>
      </w:pPr>
      <w:r>
        <w:rPr>
          <w:rFonts w:ascii="arial" w:hAnsi="arial"/>
          <w:sz w:val="20"/>
        </w:rPr>
        <w:t xml:space="preserve">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t>
      </w:r>
    </w:p>
    <w:p>
      <w:pPr>
        <w:pStyle w:val="TextBody"/>
        <w:bidi w:val="0"/>
        <w:spacing w:before="160" w:after="0"/>
        <w:jc w:val="left"/>
        <w:rPr>
          <w:rFonts w:ascii="arial" w:hAnsi="arial"/>
          <w:sz w:val="20"/>
        </w:rPr>
      </w:pPr>
      <w:r>
        <w:rPr>
          <w:rFonts w:ascii="arial" w:hAnsi="arial"/>
          <w:sz w:val="20"/>
        </w:rPr>
        <w:t xml:space="preserve">We publish privacy policies, marketing materials,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60" w:after="0"/>
        <w:jc w:val="left"/>
        <w:rPr>
          <w:rFonts w:ascii="arial" w:hAnsi="arial"/>
          <w:sz w:val="20"/>
        </w:rPr>
      </w:pPr>
      <w:r>
        <w:rPr>
          <w:rFonts w:ascii="arial" w:hAnsi="arial"/>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before="160" w:after="0"/>
        <w:jc w:val="left"/>
        <w:rPr>
          <w:rFonts w:ascii="arial" w:hAnsi="arial"/>
          <w:sz w:val="20"/>
        </w:rPr>
      </w:pPr>
      <w:r>
        <w:rPr>
          <w:rFonts w:ascii="arial" w:hAnsi="arial"/>
          <w:sz w:val="20"/>
        </w:rPr>
        <w:t xml:space="preserve">We may at times fail (or be perceived to have failed) in our efforts to comply with our data privacy and security obligations. Moreover, despite our efforts, our personnel or third parties with whom we work may fail (or be perceived to have failed) to comply with such obligations, which could negatively impact our business operations. </w:t>
      </w:r>
    </w:p>
    <w:p>
      <w:pPr>
        <w:pStyle w:val="TextBody"/>
        <w:bidi w:val="0"/>
        <w:spacing w:before="160" w:after="0"/>
        <w:jc w:val="left"/>
        <w:rPr>
          <w:rFonts w:ascii="arial" w:hAnsi="arial"/>
          <w:sz w:val="20"/>
        </w:rPr>
      </w:pPr>
      <w:r>
        <w:rPr>
          <w:rFonts w:ascii="arial" w:hAnsi="arial"/>
          <w:sz w:val="20"/>
        </w:rPr>
        <w:t xml:space="preserve">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 </w:t>
      </w:r>
    </w:p>
    <w:p>
      <w:pPr>
        <w:pStyle w:val="TextBody"/>
        <w:bidi w:val="0"/>
        <w:spacing w:before="160" w:after="0"/>
        <w:jc w:val="left"/>
        <w:rPr>
          <w:rFonts w:ascii="arial" w:hAnsi="arial"/>
          <w:sz w:val="20"/>
        </w:rPr>
      </w:pPr>
      <w:r>
        <w:rPr>
          <w:rFonts w:ascii="arial" w:hAnsi="arial"/>
          <w:sz w:val="20"/>
        </w:rPr>
        <w:t xml:space="preserve">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160" w:after="0"/>
        <w:jc w:val="left"/>
        <w:rPr>
          <w:rFonts w:ascii="arial" w:hAnsi="arial"/>
          <w:sz w:val="20"/>
        </w:rPr>
      </w:pPr>
      <w:r>
        <w:rPr>
          <w:rFonts w:ascii="arial" w:hAnsi="arial"/>
          <w:sz w:val="20"/>
        </w:rPr>
        <w:t xml:space="preserve">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160" w:after="0"/>
        <w:jc w:val="left"/>
        <w:rPr>
          <w:rFonts w:ascii="arial" w:hAnsi="arial"/>
          <w:sz w:val="20"/>
        </w:rPr>
      </w:pPr>
      <w:r>
        <w:rPr>
          <w:rFonts w:ascii="arial" w:hAnsi="arial"/>
          <w:sz w:val="20"/>
        </w:rPr>
        <w:t xml:space="preserve">In the ordinary course of our business, we and the third parties upon which we rely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60" w:after="0"/>
        <w:jc w:val="left"/>
        <w:rPr>
          <w:rFonts w:ascii="arial" w:hAnsi="arial"/>
          <w:sz w:val="20"/>
        </w:rPr>
      </w:pPr>
      <w:r>
        <w:rPr>
          <w:rFonts w:ascii="arial" w:hAnsi="arial"/>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 For example, we have operations and third parties with whom we work to support our business located in unstable regions and regions experiencing (or expected to experience) geopolitical or other conflicts, including in the Middle East, where businesses have experienced an increase in cyberattacks in relation to the Israel/Hamas conflict. </w:t>
      </w:r>
    </w:p>
    <w:p>
      <w:pPr>
        <w:pStyle w:val="TextBody"/>
        <w:bidi w:val="0"/>
        <w:spacing w:before="160" w:after="0"/>
        <w:jc w:val="left"/>
        <w:rPr>
          <w:rFonts w:ascii="arial" w:hAnsi="arial"/>
          <w:sz w:val="20"/>
        </w:rPr>
      </w:pPr>
      <w:r>
        <w:rPr>
          <w:rFonts w:ascii="arial" w:hAnsi="arial"/>
          <w:sz w:val="20"/>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 attacks enhanced or facilitated by AI, and other similar threats. </w:t>
      </w:r>
    </w:p>
    <w:p>
      <w:pPr>
        <w:pStyle w:val="TextBody"/>
        <w:bidi w:val="0"/>
        <w:spacing w:before="160" w:after="0"/>
        <w:jc w:val="left"/>
        <w:rPr>
          <w:rFonts w:ascii="arial" w:hAnsi="arial"/>
          <w:sz w:val="20"/>
        </w:rPr>
      </w:pPr>
      <w:r>
        <w:rPr>
          <w:rFonts w:ascii="arial" w:hAnsi="arial"/>
          <w:sz w:val="20"/>
        </w:rPr>
        <w:t xml:space="preserve">In particular, severe ransomware attacks are becoming increasingly prevalent, particularly for companies like ours that are engaged in manufacturing,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60" w:after="0"/>
        <w:jc w:val="left"/>
        <w:rPr>
          <w:rFonts w:ascii="arial" w:hAnsi="arial"/>
          <w:sz w:val="20"/>
        </w:rPr>
      </w:pPr>
      <w:r>
        <w:rPr>
          <w:rFonts w:ascii="arial" w:hAnsi="arial"/>
          <w:sz w:val="20"/>
        </w:rPr>
        <w:t xml:space="preserve">We are incorporated into the supply chain of a large number of companies worldwide and, as a result, if our products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 </w:t>
      </w:r>
    </w:p>
    <w:p>
      <w:pPr>
        <w:pStyle w:val="TextBody"/>
        <w:bidi w:val="0"/>
        <w:spacing w:before="160" w:after="0"/>
        <w:jc w:val="left"/>
        <w:rPr>
          <w:rFonts w:ascii="arial" w:hAnsi="arial"/>
          <w:sz w:val="20"/>
        </w:rPr>
      </w:pPr>
      <w:r>
        <w:rPr>
          <w:rFonts w:ascii="arial" w:hAnsi="arial"/>
          <w:sz w:val="20"/>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supply-chain attacks.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Remote work has increased risks to our information technology systems and data, as our employees utilize network connections, computers and devices outside our premises or network, including working at home, while in transit and in public locations. </w:t>
      </w:r>
    </w:p>
    <w:p>
      <w:pPr>
        <w:pStyle w:val="TextBody"/>
        <w:bidi w:val="0"/>
        <w:spacing w:before="160" w:after="0"/>
        <w:jc w:val="left"/>
        <w:rPr>
          <w:rFonts w:ascii="arial" w:hAnsi="arial"/>
          <w:sz w:val="20"/>
        </w:rPr>
      </w:pPr>
      <w:r>
        <w:rPr>
          <w:rFonts w:ascii="arial" w:hAnsi="arial"/>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60" w:after="0"/>
        <w:jc w:val="left"/>
        <w:rPr>
          <w:rFonts w:ascii="arial" w:hAnsi="arial"/>
          <w:sz w:val="20"/>
        </w:rPr>
      </w:pPr>
      <w:r>
        <w:rPr>
          <w:rFonts w:ascii="arial" w:hAnsi="arial"/>
          <w:sz w:val="20"/>
        </w:rPr>
        <w:t xml:space="preserve">In addition, our reliance on third parties could introduce cybersecurity risks and vulnerabilities, including supply chain attacks, and other threats to our business operations. We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w:t>
      </w:r>
    </w:p>
    <w:p>
      <w:pPr>
        <w:pStyle w:val="TextBody"/>
        <w:bidi w:val="0"/>
        <w:spacing w:before="160" w:after="0"/>
        <w:jc w:val="left"/>
        <w:rPr>
          <w:rFonts w:ascii="arial" w:hAnsi="arial"/>
          <w:sz w:val="20"/>
        </w:rPr>
      </w:pPr>
      <w:r>
        <w:rPr>
          <w:rFonts w:ascii="arial" w:hAnsi="arial"/>
          <w:sz w:val="20"/>
        </w:rPr>
        <w:t xml:space="preserve">In addition, supply-chain attacks have increased in frequency and severity, and we cannot guarantee that third parties’ infrastructure in our supply chain or that of the third parties with whom we work have not been compromised. </w:t>
      </w:r>
    </w:p>
    <w:p>
      <w:pPr>
        <w:pStyle w:val="TextBody"/>
        <w:bidi w:val="0"/>
        <w:spacing w:before="160" w:after="0"/>
        <w:jc w:val="left"/>
        <w:rPr>
          <w:rFonts w:ascii="arial" w:hAnsi="arial"/>
          <w:sz w:val="20"/>
        </w:rPr>
      </w:pPr>
      <w:r>
        <w:rPr>
          <w:rFonts w:ascii="arial" w:hAnsi="arial"/>
          <w:sz w:val="20"/>
        </w:rPr>
        <w:t xml:space="preserve">While we have implemented security measures designed to protect against security incidents, there can be no assurance that these measures will be fully implemented, complied with, or effective. </w:t>
      </w:r>
    </w:p>
    <w:p>
      <w:pPr>
        <w:pStyle w:val="TextBody"/>
        <w:bidi w:val="0"/>
        <w:spacing w:before="160" w:after="0"/>
        <w:jc w:val="left"/>
        <w:rPr>
          <w:rFonts w:ascii="arial" w:hAnsi="arial"/>
          <w:sz w:val="20"/>
        </w:rPr>
      </w:pPr>
      <w:r>
        <w:rPr>
          <w:rFonts w:ascii="arial" w:hAnsi="arial"/>
          <w:sz w:val="20"/>
        </w:rPr>
        <w:t xml:space="preserve">We take steps designed to detect, mitigate, and remediate vulnerabilities in our information systems (such as our hardware and/or software, including that of third parties with whom we work). We may not,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160" w:after="0"/>
        <w:jc w:val="left"/>
        <w:rPr>
          <w:rFonts w:ascii="arial" w:hAnsi="arial"/>
          <w:sz w:val="20"/>
        </w:rPr>
      </w:pPr>
      <w:r>
        <w:rPr>
          <w:rFonts w:ascii="arial" w:hAnsi="arial"/>
          <w:sz w:val="20"/>
        </w:rPr>
        <w:t xml:space="preserve">The reliability and continuous availability of our platform is critical to our success. However, software such as ours can contain errors, defects, security vulnerabilities or software bugs that are difficult to detect and correct, particularly when such vulnerabilities are first introduced or when new versions or enhancements of our platform are released. Additionally, even if we are able to develop a patch or other fix to address such vulnerabilities, such fix may be difficult to push out to our customers or otherwise be delayed. Even if we have issued or otherwise made patches or information for vulnerabilities in our platform, our customers may be unwilling or unable to deploy such patches and use such information effectively and in a timely manner. </w:t>
      </w:r>
    </w:p>
    <w:p>
      <w:pPr>
        <w:pStyle w:val="TextBody"/>
        <w:bidi w:val="0"/>
        <w:spacing w:before="160" w:after="0"/>
        <w:jc w:val="left"/>
        <w:rPr>
          <w:rFonts w:ascii="arial" w:hAnsi="arial"/>
          <w:sz w:val="20"/>
        </w:rPr>
      </w:pPr>
      <w:r>
        <w:rPr>
          <w:rFonts w:ascii="arial" w:hAnsi="arial"/>
          <w:sz w:val="20"/>
        </w:rPr>
        <w:t xml:space="preserve">Any of the previously identified or similar threats may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on whom we rely) to provide our services. </w:t>
      </w:r>
    </w:p>
    <w:p>
      <w:pPr>
        <w:pStyle w:val="TextBody"/>
        <w:bidi w:val="0"/>
        <w:spacing w:before="160" w:after="0"/>
        <w:jc w:val="left"/>
        <w:rPr>
          <w:rFonts w:ascii="arial" w:hAnsi="arial"/>
          <w:sz w:val="20"/>
        </w:rPr>
      </w:pPr>
      <w:r>
        <w:rPr>
          <w:rFonts w:ascii="arial" w:hAnsi="arial"/>
          <w:sz w:val="20"/>
        </w:rPr>
        <w:t xml:space="preserve">We may expend significant resources or modify our business activities to try to protect against security incidents. Certain data privacy and security obligations have required us to implement and maintain specific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security measures or industry-standard or reasonable security measures to protect our information technology systems and sensitive data. </w:t>
      </w:r>
    </w:p>
    <w:p>
      <w:pPr>
        <w:pStyle w:val="TextBody"/>
        <w:bidi w:val="0"/>
        <w:spacing w:before="160" w:after="0"/>
        <w:jc w:val="left"/>
        <w:rPr>
          <w:rFonts w:ascii="arial" w:hAnsi="arial"/>
          <w:sz w:val="20"/>
        </w:rPr>
      </w:pPr>
      <w:r>
        <w:rPr>
          <w:rFonts w:ascii="arial" w:hAnsi="arial"/>
          <w:sz w:val="20"/>
        </w:rPr>
        <w:t xml:space="preserve">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60" w:after="0"/>
        <w:jc w:val="left"/>
        <w:rPr>
          <w:rFonts w:ascii="arial" w:hAnsi="arial"/>
          <w:sz w:val="20"/>
        </w:rPr>
      </w:pPr>
      <w:r>
        <w:rPr>
          <w:rFonts w:ascii="arial" w:hAnsi="arial"/>
          <w:sz w:val="20"/>
        </w:rPr>
        <w:t xml:space="preserve">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platform, deter new customers from using our platform, and negatively impact our ability to grow and operate our business. </w:t>
      </w:r>
    </w:p>
    <w:p>
      <w:pPr>
        <w:pStyle w:val="TextBody"/>
        <w:bidi w:val="0"/>
        <w:spacing w:before="160" w:after="0"/>
        <w:jc w:val="left"/>
        <w:rPr>
          <w:rFonts w:ascii="arial" w:hAnsi="arial"/>
          <w:sz w:val="20"/>
        </w:rPr>
      </w:pPr>
      <w:r>
        <w:rPr>
          <w:rFonts w:ascii="arial" w:hAnsi="arial"/>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before="160" w:after="0"/>
        <w:jc w:val="left"/>
        <w:rPr>
          <w:rFonts w:ascii="arial" w:hAnsi="arial"/>
          <w:sz w:val="20"/>
        </w:rPr>
      </w:pPr>
      <w:r>
        <w:rPr>
          <w:rFonts w:ascii="arial" w:hAnsi="arial"/>
          <w:sz w:val="20"/>
        </w:rPr>
        <w:t xml:space="preserve">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160" w:after="0"/>
        <w:jc w:val="left"/>
        <w:rPr>
          <w:rFonts w:ascii="arial" w:hAnsi="arial"/>
          <w:sz w:val="20"/>
        </w:rPr>
      </w:pPr>
      <w:r>
        <w:rPr>
          <w:rFonts w:ascii="arial" w:hAnsi="arial"/>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before="160" w:after="0"/>
        <w:jc w:val="left"/>
        <w:rPr>
          <w:rFonts w:ascii="arial" w:hAnsi="arial"/>
          <w:b/>
          <w:i/>
          <w:sz w:val="20"/>
        </w:rPr>
      </w:pPr>
      <w:r>
        <w:rPr>
          <w:rFonts w:ascii="arial" w:hAnsi="arial"/>
          <w:b/>
          <w:i/>
          <w:sz w:val="20"/>
        </w:rPr>
        <w:t xml:space="preserve">We rely on on-premise, co-located and third-party data centers and platforms to host our website and other online services, as well as for research and development purposes and any interruptions of service or failures may impair and harm our business. </w:t>
      </w:r>
    </w:p>
    <w:p>
      <w:pPr>
        <w:pStyle w:val="TextBody"/>
        <w:bidi w:val="0"/>
        <w:spacing w:before="160" w:after="0"/>
        <w:jc w:val="left"/>
        <w:rPr>
          <w:rFonts w:ascii="arial" w:hAnsi="arial"/>
          <w:sz w:val="20"/>
        </w:rPr>
      </w:pPr>
      <w:r>
        <w:rPr>
          <w:rFonts w:ascii="arial" w:hAnsi="arial"/>
          <w:sz w:val="20"/>
        </w:rPr>
        <w:t xml:space="preserve">Our proprietary software is a crucial component of our solutions, as our software allows our end users to process and visualize proteomic information provided by our instruments and reagents. Our website and online services are hosted with various third-party service providers located in the United States. We rely on on-premises, co-located and third-party infrastructure in the San Francisco Bay Area and other regions in the United States to perform computationally demanding analysis tasks for our research and development programs and for other business purposes. </w:t>
      </w:r>
    </w:p>
    <w:p>
      <w:pPr>
        <w:pStyle w:val="TextBody"/>
        <w:bidi w:val="0"/>
        <w:spacing w:before="160" w:after="0"/>
        <w:jc w:val="left"/>
        <w:rPr>
          <w:rFonts w:ascii="arial" w:hAnsi="arial"/>
          <w:sz w:val="20"/>
        </w:rPr>
      </w:pPr>
      <w:r>
        <w:rPr>
          <w:rFonts w:ascii="arial" w:hAnsi="arial"/>
          <w:sz w:val="20"/>
        </w:rPr>
        <w:t xml:space="preserve">In the event of any technical problems that may arise in connection with our on-premise, co-located or third-party data centers, we could experience interruptions in our ability to provide products and services to our customers or in our internal functions, including research and development, which rely on such services. Interruptions or failures may be caused by a variety of factors, including infrastructure changes, human or software errors, viruses, worms, ransomware, security attacks, fraud, spikes in customer usage and denial of service issues. Interruptions or failures in our operations or services may reduce our revenue, result in the loss of customers, adversely affect our ability to attract new customers or harm our reputation. Significant interruptions to our research and development programs could cause us to delay the introduction of new products or new versions of existing products, which could adversely impact our business, our results of operations and the competitiveness of our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current solutions are capable of generating large datasets, the analysis of which can be time consuming without access to a high-performance computing system. The visualization of such data can also be computationally intensive. As we iterate and improve our products and as the related technologies advance, our continued growth may require an ability to provide our customers with direct access to a high-performance computing system and/or alternative means of obtaining our software. As a result, we expect our reliance on internal and third-party data centers to increase in the future. </w:t>
      </w:r>
    </w:p>
    <w:p>
      <w:pPr>
        <w:pStyle w:val="TextBody"/>
        <w:bidi w:val="0"/>
        <w:spacing w:before="160" w:after="0"/>
        <w:jc w:val="left"/>
        <w:rPr>
          <w:rFonts w:ascii="arial" w:hAnsi="arial"/>
          <w:sz w:val="20"/>
        </w:rPr>
      </w:pPr>
      <w:r>
        <w:rPr>
          <w:rFonts w:ascii="arial" w:hAnsi="arial"/>
          <w:sz w:val="20"/>
        </w:rPr>
        <w:t xml:space="preserve">Further, as we rely on third-party and public-cloud infrastructure, we will depend in part on third-party security measures to protect against unauthorized access, cyberattacks and the mishandling of customer data. In addition, failures to meet customers’ expectations with respect to security and confidentiality of their data and information could damage our reputation and affect our ability to retain customers, attract new customers and grow our business. In addition, a cybersecurity event could result in significant increases in costs, including costs for remediating the effects of such an event, lost revenue due to a decrease in customer trust and network downtime; increases in insurance coverage costs due to cybersecurity incidents; and damages to our reputation because of any such incident. </w:t>
      </w:r>
    </w:p>
    <w:p>
      <w:pPr>
        <w:pStyle w:val="TextBody"/>
        <w:bidi w:val="0"/>
        <w:spacing w:before="160" w:after="0"/>
        <w:jc w:val="left"/>
        <w:rPr>
          <w:rFonts w:ascii="arial" w:hAnsi="arial"/>
          <w:b/>
          <w:sz w:val="24"/>
        </w:rPr>
      </w:pPr>
      <w:r>
        <w:rPr>
          <w:rFonts w:ascii="arial" w:hAnsi="arial"/>
          <w:b/>
          <w:sz w:val="24"/>
        </w:rPr>
        <w:t xml:space="preserve">Risks related to this offering and ownership of our common stock </w:t>
      </w:r>
    </w:p>
    <w:p>
      <w:pPr>
        <w:pStyle w:val="TextBody"/>
        <w:bidi w:val="0"/>
        <w:spacing w:before="160" w:after="0"/>
        <w:jc w:val="left"/>
        <w:rPr>
          <w:rFonts w:ascii="arial" w:hAnsi="arial"/>
          <w:b/>
          <w:i/>
          <w:sz w:val="20"/>
        </w:rPr>
      </w:pPr>
      <w:r>
        <w:rPr>
          <w:rFonts w:ascii="arial" w:hAnsi="arial"/>
          <w:b/>
          <w:i/>
          <w:sz w:val="20"/>
        </w:rPr>
        <w:t xml:space="preserve">An active trading market for our common stock may not develop or be sustained.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Our common stock has been approved for listing on Nasdaq under the symbol “ALMR.” The initial public offering price for our common stock was determined through negotiations among us and the underwriters, and may vary from the market price of our common stock following the completion of this offering. An active trading market for our shares may never develop or be sustained following this offering. The lack of an active market may impair the value of your shares, your ability to sell your shares at the time you wish to sell them and the prices that you may obtain for your shares. Further, an inactive trading market for our shares may also impair our ability to raise capital by selling shares of our common stock or enter into strategic partnerships and transactions by issuing our shares of common stock as consideration. If an active trading market for our common stock does not develop, or is not sustained, you may not be able to sell your shares quickly or at the market price, or at all, and it may be difficult for you to sell your shares without depressing the market price for our common stock. </w:t>
      </w:r>
    </w:p>
    <w:p>
      <w:pPr>
        <w:pStyle w:val="TextBody"/>
        <w:bidi w:val="0"/>
        <w:spacing w:before="160" w:after="0"/>
        <w:jc w:val="left"/>
        <w:rPr>
          <w:rFonts w:ascii="arial" w:hAnsi="arial"/>
          <w:b/>
          <w:i/>
          <w:sz w:val="20"/>
        </w:rPr>
      </w:pPr>
      <w:r>
        <w:rPr>
          <w:rFonts w:ascii="arial" w:hAnsi="arial"/>
          <w:b/>
          <w:i/>
          <w:sz w:val="20"/>
        </w:rPr>
        <w:t xml:space="preserve">The trading price of our common stock may be volatile, and you could lose all or part of your investment. </w:t>
      </w:r>
    </w:p>
    <w:p>
      <w:pPr>
        <w:pStyle w:val="TextBody"/>
        <w:bidi w:val="0"/>
        <w:spacing w:before="160" w:after="0"/>
        <w:jc w:val="left"/>
        <w:rPr>
          <w:rFonts w:ascii="arial" w:hAnsi="arial"/>
          <w:sz w:val="20"/>
        </w:rPr>
      </w:pPr>
      <w:r>
        <w:rPr>
          <w:rFonts w:ascii="arial" w:hAnsi="arial"/>
          <w:sz w:val="20"/>
        </w:rPr>
        <w:t xml:space="preserve">The trading price of our common stock after this offering is likely to be volatile. As a result of this volatility, you may not be able to sell your shares of common stock at or above the initial public offering price. The market price for our common stock may be influenced by those factors discussed in this “Risk factors” section and many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timing of our launch of future products and degree to which the launch and commercialization thereof meets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outcomes of and related rulings in the litigation and administrative proceedings in which we are currently or may in the future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failure or discontinuation of any of our product development and research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the structure or funding of research at academic and research laboratories and institutions, including changes that would affect their ability to purchase our instruments or consumables;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success of existing or new competitive businesses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announcements about new research programs or products of our competitors;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litigation and governmental investigations involving us, our industry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volatility and variations in market conditions in the life sciences sector generally, or the advanced proteomics sector specifically;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investor perceptions of us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level of expenses related to any of our research and development programs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whether our financial results meet the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stock-based compensation expense under applicable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sales of our common stock or common stock by us, our insiders or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general economic, industry and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natural disasters or major catastrophic events. </w:t>
            </w:r>
          </w:p>
        </w:tc>
      </w:tr>
    </w:tbl>
    <w:p>
      <w:pPr>
        <w:pStyle w:val="TextBody"/>
        <w:bidi w:val="0"/>
        <w:spacing w:before="160" w:after="0"/>
        <w:jc w:val="left"/>
        <w:rPr>
          <w:rFonts w:ascii="arial" w:hAnsi="arial"/>
          <w:sz w:val="20"/>
        </w:rPr>
      </w:pPr>
      <w:r>
        <w:rPr>
          <w:rFonts w:ascii="arial" w:hAnsi="arial"/>
          <w:sz w:val="20"/>
        </w:rPr>
        <w:t xml:space="preserve">Following price volatility, holders of securities may institute securities class action litigation against us.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Further, a decline in the financial markets and related factors beyond our control may cause the price of our common stock to decline rapidly and unexpectedly. If the market price of our common stock following this offering does not exceed the initial public offering price, you may not realize any return on, or you may lose some or all of your investment. Broad market and industry factors such as these could materially and adversely affect the market price of our stock, regardless of our actual operating performance. </w:t>
      </w:r>
    </w:p>
    <w:p>
      <w:pPr>
        <w:pStyle w:val="TextBody"/>
        <w:bidi w:val="0"/>
        <w:spacing w:before="160" w:after="0"/>
        <w:jc w:val="left"/>
        <w:rPr>
          <w:rFonts w:ascii="arial" w:hAnsi="arial"/>
          <w:b/>
          <w:i/>
          <w:sz w:val="20"/>
        </w:rPr>
      </w:pPr>
      <w:r>
        <w:rPr>
          <w:rFonts w:ascii="arial" w:hAnsi="arial"/>
          <w:b/>
          <w:i/>
          <w:sz w:val="20"/>
        </w:rPr>
        <w:t xml:space="preserve">Our principal stockholders and management own a significant percentage of our stock and will be able to exercise significant influence over matters subject to stockholder approval. </w:t>
      </w:r>
    </w:p>
    <w:p>
      <w:pPr>
        <w:pStyle w:val="TextBody"/>
        <w:bidi w:val="0"/>
        <w:spacing w:before="160" w:after="0"/>
        <w:jc w:val="left"/>
        <w:rPr>
          <w:rFonts w:ascii="arial" w:hAnsi="arial"/>
          <w:sz w:val="20"/>
        </w:rPr>
      </w:pPr>
      <w:r>
        <w:rPr>
          <w:rFonts w:ascii="arial" w:hAnsi="arial"/>
          <w:sz w:val="20"/>
        </w:rPr>
        <w:t xml:space="preserve">Our executive officers, directors and principal stockholders listed in the table in the section entitled “Principal stockholders” beneficially owned approximately 64.5% of our shares of common stock outstanding as of March 1, 2026, after giving effect to the Preferred Stock Conversion, the Founders Preferred Stock Conversion, the Class A Conversion, the Common Stock Redesignation and the Convertible Notes Conversion, as if each had occurred as of March 1, 2026, prior to the completion of this offering, and we expect that upon the closing of this offering, that same group will beneficially own at least 54.1% of our common stock, which assumes no exercise of the underwriters’ option to acquire additional shares of common stock in this offering. Accordingly, after this offering, our executive officers, directors and principal stockholders will continue to have significant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 </w:t>
      </w:r>
    </w:p>
    <w:p>
      <w:pPr>
        <w:pStyle w:val="TextBody"/>
        <w:bidi w:val="0"/>
        <w:spacing w:before="160" w:after="0"/>
        <w:jc w:val="left"/>
        <w:rPr>
          <w:rFonts w:ascii="arial" w:hAnsi="arial"/>
          <w:b/>
          <w:i/>
          <w:sz w:val="20"/>
        </w:rPr>
      </w:pPr>
      <w:r>
        <w:rPr>
          <w:rFonts w:ascii="arial" w:hAnsi="arial"/>
          <w:b/>
          <w:i/>
          <w:sz w:val="20"/>
        </w:rPr>
        <w:t xml:space="preserve">A significant portion of our total outstanding shares are eligible to be sold into the market in the near future, which could cause the market price of our common stock to drop significantly, even if our business is doing well. </w:t>
      </w:r>
    </w:p>
    <w:p>
      <w:pPr>
        <w:pStyle w:val="TextBody"/>
        <w:bidi w:val="0"/>
        <w:spacing w:before="160" w:after="0"/>
        <w:jc w:val="left"/>
        <w:rPr>
          <w:rFonts w:ascii="arial" w:hAnsi="arial"/>
          <w:sz w:val="20"/>
        </w:rPr>
      </w:pPr>
      <w:r>
        <w:rPr>
          <w:rFonts w:ascii="arial" w:hAnsi="arial"/>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After this offering, we will have 66,521,425 shares of common stock outstanding. This includes the shares that we are selling in this offering, which may be resold in the public market immediately without restriction, unless purchased by our affiliates. Substantially all of the remaining 55,271,425 shares of common stock initially will be restricted as a result of securities laws, market standoff provisions or lock-up agreements, but will become eligible to be sold after this offering as described in the section titled “Shares eligible for future sale.” Future sales of such shares may cause the price of our common stock to be reduced or become more volatile. </w:t>
      </w:r>
    </w:p>
    <w:p>
      <w:pPr>
        <w:pStyle w:val="TextBody"/>
        <w:bidi w:val="0"/>
        <w:spacing w:before="160" w:after="0"/>
        <w:jc w:val="left"/>
        <w:rPr>
          <w:rFonts w:ascii="arial" w:hAnsi="arial"/>
          <w:sz w:val="20"/>
        </w:rPr>
      </w:pPr>
      <w:r>
        <w:rPr>
          <w:rFonts w:ascii="arial" w:hAnsi="arial"/>
          <w:sz w:val="20"/>
        </w:rPr>
        <w:t xml:space="preserve">Moreover, after this offering, holders of an aggregate of 39,313,815 shares of our common stock will have rights, subject to specified conditions, to require us to file registration statements with the SEC covering their shares or to include their shares in registration statements that we may file for ourselves or other stockholders, until such shares can otherwise be sold without restriction under Rule 144 under the Securities Act of 1933, as amended (the “Securities Act”), or until the rights terminate pursuant to the terms of the stockholder agreements between us and such holders. We also intend to register all shares of common stock subject to equity awards issued or reserved for future issuance under our equity compensation plans on a registration statement on Form S-8. Once we register these shares, they can be freely sold in the public market upon issuance, subject to volume limitations applicable to affiliates under Rule 144 under the Securities Act and the market standoff provisions and lock-up agreements described above. Any sales of securities by these stockholders could have a negative impact on the trading price of our common stock. </w:t>
      </w:r>
    </w:p>
    <w:p>
      <w:pPr>
        <w:pStyle w:val="TextBody"/>
        <w:bidi w:val="0"/>
        <w:spacing w:before="160" w:after="0"/>
        <w:jc w:val="left"/>
        <w:rPr>
          <w:rFonts w:ascii="arial" w:hAnsi="arial"/>
          <w:b/>
          <w:i/>
          <w:sz w:val="20"/>
        </w:rPr>
      </w:pPr>
      <w:r>
        <w:rPr>
          <w:rFonts w:ascii="arial" w:hAnsi="arial"/>
          <w:b/>
          <w:i/>
          <w:sz w:val="20"/>
        </w:rPr>
        <w:t xml:space="preserve">If you purchase our common stock in this offering, you will incur immediate and substantial dilution of your investment. </w:t>
      </w:r>
    </w:p>
    <w:p>
      <w:pPr>
        <w:pStyle w:val="TextBody"/>
        <w:bidi w:val="0"/>
        <w:spacing w:before="160" w:after="0"/>
        <w:jc w:val="left"/>
        <w:rPr>
          <w:rFonts w:ascii="arial" w:hAnsi="arial"/>
          <w:sz w:val="20"/>
        </w:rPr>
      </w:pPr>
      <w:r>
        <w:rPr>
          <w:rFonts w:ascii="arial" w:hAnsi="arial"/>
          <w:sz w:val="20"/>
        </w:rPr>
        <w:t xml:space="preserve">The initial public offering price of our common stock is substantially higher than the net tangible book value per share of our outstanding common stock immediately after the closing of this offering. Based on an initial public offering price of $17.00 per share, you will experience immediate dilution of $12.43 per share as of December 31, 2025, representing the difference between our pro forma as adjusted net tangible book value per share, after giving effect to this offering, and the initial public offering price. This dilution is due to our investors who purchased shares prior to this offering having paid a price for their shares that is substantially less than the price offered to the public in this offering, as well as the exercise of stock options granted to our employees. To the extent any outstanding options are exercised, you will experience further dilution. As a result of this dilution, investors purchasing stock in this offering may receive significantly less than the full purchase price that they paid for the shares purchased in this offering in the event of a liquidation. See the section titled “Dilution” for additional information. </w:t>
      </w:r>
    </w:p>
    <w:p>
      <w:pPr>
        <w:pStyle w:val="TextBody"/>
        <w:bidi w:val="0"/>
        <w:spacing w:before="160" w:after="0"/>
        <w:jc w:val="left"/>
        <w:rPr>
          <w:rFonts w:ascii="arial" w:hAnsi="arial"/>
          <w:b/>
          <w:i/>
          <w:sz w:val="20"/>
        </w:rPr>
      </w:pPr>
      <w:r>
        <w:rPr>
          <w:rFonts w:ascii="arial" w:hAnsi="arial"/>
          <w:b/>
          <w:i/>
          <w:sz w:val="20"/>
        </w:rPr>
        <w:t xml:space="preserve">Raising additional capital may cause dilution to our existing stockholders or restrict our operations. </w:t>
      </w:r>
    </w:p>
    <w:p>
      <w:pPr>
        <w:pStyle w:val="TextBody"/>
        <w:bidi w:val="0"/>
        <w:spacing w:before="160" w:after="0"/>
        <w:jc w:val="left"/>
        <w:rPr>
          <w:rFonts w:ascii="arial" w:hAnsi="arial"/>
          <w:sz w:val="20"/>
        </w:rPr>
      </w:pPr>
      <w:r>
        <w:rPr>
          <w:rFonts w:ascii="arial" w:hAnsi="arial"/>
          <w:sz w:val="20"/>
        </w:rPr>
        <w:t xml:space="preserve">We anticipate that we will seek additional capital through a combination of public and private equity offerings, debt financings, strategic partnerships and alliances and licensing arrangements in the future to fund our operations. We, and indirectly, our stockholders, will bear the cost of issuing and servicing such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Because our decision to issue debt or equity securities in any future offering will depend on market conditions and other factors beyond our control, we cannot predict or estimate the amount, timing or nature of any future offerings. Our decision to issue debt or equity securities will also depend on contractual, legal and other restrictions that may limit our ability to raise additional capital. For example, the terms of our SVB Loan Agreement prohibit, subject to certain exceptions, our ability to incur additional indebtedness. Further, our election to borrow up to an additional $50.0 million of term loans under the SVB Loan Agreement will obligate us to issue warrants to purchase 28,685 shares of our common stock at an exercise price of $4.18 per share to the lender thereof, which will result in further dilution of your ownership interest.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Certain of the foregoing transactions may require us to obtain stockholder approval, which we may not be able to obtain. </w:t>
      </w:r>
    </w:p>
    <w:p>
      <w:pPr>
        <w:pStyle w:val="TextBody"/>
        <w:bidi w:val="0"/>
        <w:spacing w:before="160" w:after="0"/>
        <w:jc w:val="left"/>
        <w:rPr>
          <w:rFonts w:ascii="arial" w:hAnsi="arial"/>
          <w:b/>
          <w:i/>
          <w:sz w:val="20"/>
        </w:rPr>
      </w:pPr>
      <w:r>
        <w:rPr>
          <w:rFonts w:ascii="arial" w:hAnsi="arial"/>
          <w:b/>
          <w:i/>
          <w:sz w:val="20"/>
        </w:rPr>
        <w:t xml:space="preserve">Participation in this offering by our existing stockholders and/or their affiliated entities may reduce the public float for our common stock. </w:t>
      </w:r>
    </w:p>
    <w:p>
      <w:pPr>
        <w:pStyle w:val="TextBody"/>
        <w:bidi w:val="0"/>
        <w:spacing w:before="160" w:after="0"/>
        <w:jc w:val="left"/>
        <w:rPr>
          <w:rFonts w:ascii="arial" w:hAnsi="arial"/>
          <w:sz w:val="20"/>
        </w:rPr>
      </w:pPr>
      <w:r>
        <w:rPr>
          <w:rFonts w:ascii="arial" w:hAnsi="arial"/>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160" w:after="0"/>
        <w:jc w:val="left"/>
        <w:rPr>
          <w:rFonts w:ascii="arial" w:hAnsi="arial"/>
          <w:b/>
          <w:i/>
          <w:sz w:val="20"/>
        </w:rPr>
      </w:pPr>
      <w:r>
        <w:rPr>
          <w:rFonts w:ascii="arial" w:hAnsi="arial"/>
          <w:b/>
          <w:i/>
          <w:sz w:val="20"/>
        </w:rPr>
        <w:t xml:space="preserve">We are an emerging growth company and a smaller reporting company, and the reduced disclosure requirements applicable to emerging growth companies and smaller reporting companies may make our common stock less attractive to investors. </w:t>
      </w:r>
    </w:p>
    <w:p>
      <w:pPr>
        <w:pStyle w:val="TextBody"/>
        <w:bidi w:val="0"/>
        <w:spacing w:before="160" w:after="0"/>
        <w:jc w:val="left"/>
        <w:rPr>
          <w:rFonts w:ascii="arial" w:hAnsi="arial"/>
          <w:sz w:val="20"/>
        </w:rPr>
      </w:pPr>
      <w:r>
        <w:rPr>
          <w:rFonts w:ascii="arial" w:hAnsi="arial"/>
          <w:sz w:val="20"/>
        </w:rPr>
        <w:t xml:space="preserve">We are an “emerging growth company,” as defined in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not being required to comply with the auditor attestation requirements in the assessment of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reduced disclosure obligations regarding executive compensation;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160" w:after="0"/>
        <w:jc w:val="left"/>
        <w:rPr>
          <w:rFonts w:ascii="arial" w:hAnsi="arial"/>
          <w:sz w:val="20"/>
        </w:rPr>
      </w:pPr>
      <w:r>
        <w:rPr>
          <w:rFonts w:ascii="arial" w:hAnsi="arial"/>
          <w:sz w:val="20"/>
        </w:rPr>
        <w:t xml:space="preserve">In addition, the JOBS Act allows us as an “emerging growth company” to delay adoption of new or revised accounting pronouncements applicable to public companies until such pronouncements are made applicable to private companies. </w:t>
      </w:r>
    </w:p>
    <w:p>
      <w:pPr>
        <w:pStyle w:val="TextBody"/>
        <w:bidi w:val="0"/>
        <w:spacing w:before="160" w:after="0"/>
        <w:jc w:val="left"/>
        <w:rPr>
          <w:rFonts w:ascii="arial" w:hAnsi="arial"/>
          <w:sz w:val="20"/>
        </w:rPr>
      </w:pPr>
      <w:r>
        <w:rPr>
          <w:rFonts w:ascii="arial" w:hAnsi="arial"/>
          <w:sz w:val="20"/>
        </w:rPr>
        <w:t xml:space="preserve">We have taken advantage of the reduced reporting burdens in this prospectus, and the information we provide to stockholders will be different than the information that is available with respect to other public companies that are not emerging growth companies. For example, in this prospectus we have only included two years of audited financial statements and have not included all of the executive compensation-related information that would be required if we were not an emerging growth company. It is possible that this may cause investors to find our common stock less attractive. If some investors find our common stock less attractive as a result, there may be a less active trading market for our common stock, and our share price may be reduced or more volatile. </w:t>
      </w:r>
    </w:p>
    <w:p>
      <w:pPr>
        <w:pStyle w:val="TextBody"/>
        <w:bidi w:val="0"/>
        <w:spacing w:before="160" w:after="0"/>
        <w:jc w:val="left"/>
        <w:rPr>
          <w:rFonts w:ascii="arial" w:hAnsi="arial"/>
          <w:sz w:val="20"/>
        </w:rPr>
      </w:pPr>
      <w:r>
        <w:rPr>
          <w:rFonts w:ascii="arial" w:hAnsi="arial"/>
          <w:sz w:val="20"/>
        </w:rPr>
        <w:t xml:space="preserve">Even following the termination of our status as an emerging growth company, we may be able to take advantage of the reduced disclosure requirements applicable to “smaller reporting companies,” as that term is defined in Rule 12b-2 of the Exchange Act, and, in particular, reduced disclosure obligations regarding executive compensation in our periodic reports and proxy statements. To the extent that we are no longer eligible to use exemptions from various reporting requirements, we may be unable to realize our anticipated cost savings from these exemptions, which could materially adversely impact our results of operations. </w:t>
      </w:r>
    </w:p>
    <w:p>
      <w:pPr>
        <w:pStyle w:val="TextBody"/>
        <w:bidi w:val="0"/>
        <w:spacing w:before="160" w:after="0"/>
        <w:jc w:val="left"/>
        <w:rPr>
          <w:rFonts w:ascii="arial" w:hAnsi="arial"/>
          <w:b/>
          <w:i/>
          <w:sz w:val="20"/>
        </w:rPr>
      </w:pPr>
      <w:r>
        <w:rPr>
          <w:rFonts w:ascii="arial" w:hAnsi="arial"/>
          <w:b/>
          <w:i/>
          <w:sz w:val="20"/>
        </w:rPr>
        <w:t xml:space="preserve">We have broad discretion in the use of the net proceeds from this offering and may not use them effectively. </w:t>
      </w:r>
    </w:p>
    <w:p>
      <w:pPr>
        <w:pStyle w:val="TextBody"/>
        <w:bidi w:val="0"/>
        <w:spacing w:before="160" w:after="0"/>
        <w:jc w:val="left"/>
        <w:rPr>
          <w:rFonts w:ascii="arial" w:hAnsi="arial"/>
          <w:sz w:val="20"/>
        </w:rPr>
      </w:pPr>
      <w:r>
        <w:rPr>
          <w:rFonts w:ascii="arial" w:hAnsi="arial"/>
          <w:sz w:val="20"/>
        </w:rPr>
        <w:t xml:space="preserve">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as set forth in the section titled “Use of proceeds.” However, our use of these proceeds may differ substantially from our current plans.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before="160" w:after="0"/>
        <w:jc w:val="left"/>
        <w:rPr>
          <w:rFonts w:ascii="arial" w:hAnsi="arial"/>
          <w:b/>
          <w:i/>
          <w:sz w:val="20"/>
        </w:rPr>
      </w:pPr>
      <w:r>
        <w:rPr>
          <w:rFonts w:ascii="arial" w:hAnsi="arial"/>
          <w:b/>
          <w:i/>
          <w:sz w:val="20"/>
        </w:rPr>
        <w:t xml:space="preserve">Because we do not anticipate paying any cash dividends on our common stock in the foreseeable future, capital appreciation, if any, would be your sole source of gain. </w:t>
      </w:r>
    </w:p>
    <w:p>
      <w:pPr>
        <w:pStyle w:val="TextBody"/>
        <w:bidi w:val="0"/>
        <w:spacing w:before="160" w:after="0"/>
        <w:jc w:val="left"/>
        <w:rPr>
          <w:rFonts w:ascii="arial" w:hAnsi="arial"/>
          <w:sz w:val="20"/>
        </w:rPr>
      </w:pPr>
      <w:r>
        <w:rPr>
          <w:rFonts w:ascii="arial" w:hAnsi="arial"/>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In addition the SVB Loan Agreement, and any future credit facility or financing we obtain may contain, terms prohibiting or limiting the amount of dividends that may be declared or paid on our common stock. As a result, capital appreciation, if any, of our common stock would be your sole source of gain on an investment in our common stock for the foreseeable future. See the section titled “Dividend policy” for additional information. </w:t>
      </w:r>
    </w:p>
    <w:p>
      <w:pPr>
        <w:pStyle w:val="TextBody"/>
        <w:bidi w:val="0"/>
        <w:spacing w:before="160" w:after="0"/>
        <w:jc w:val="left"/>
        <w:rPr>
          <w:rFonts w:ascii="arial" w:hAnsi="arial"/>
          <w:b/>
          <w:i/>
          <w:sz w:val="20"/>
        </w:rPr>
      </w:pPr>
      <w:r>
        <w:rPr>
          <w:rFonts w:ascii="arial" w:hAnsi="arial"/>
          <w:b/>
          <w:i/>
          <w:sz w:val="20"/>
        </w:rPr>
        <w:t xml:space="preserve">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 </w:t>
      </w:r>
    </w:p>
    <w:p>
      <w:pPr>
        <w:pStyle w:val="TextBody"/>
        <w:bidi w:val="0"/>
        <w:spacing w:before="160" w:after="0"/>
        <w:jc w:val="left"/>
        <w:rPr>
          <w:rFonts w:ascii="arial" w:hAnsi="arial"/>
          <w:sz w:val="20"/>
        </w:rPr>
      </w:pPr>
      <w:r>
        <w:rPr>
          <w:rFonts w:ascii="arial" w:hAnsi="arial"/>
          <w:sz w:val="20"/>
        </w:rPr>
        <w:t xml:space="preserve">Provisions of our amended and restated certificate of incorporation and amended and restated bylaws, which will become effective immediately prior to the completion of this offering, may delay or discourage transactions involving an actual or potential change in our control or change in our management, including transactions in which stockholders might otherwise receive a premium for their shares or transactions that our stockholders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permit our board of directors to issue, without further action by the stockholders, up to 20,000,000 shares of preferred stock, with any rights, preferences and privileges as they may designate (including the right to approve an acquisition or other change in our control) that may be senior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the authorized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subject to the rights of any series of preferred stock to elect directors, directors may only be removed for cause, which removal may be effected, subject to any limitation imposed by law, by the holders of at least 66-2/3% of the voting power of all of our then-outstanding shares of the common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divide our board of directors into three classes, with each class serving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require that any action to be taken by our stockholders must be effected at a duly called annual or special meeting of stockholders and not be taken by written consent or electronic transmission;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stockholders seeking to present proposals before a meeting of stockholders or to nominate candidates for election as directors at a meeting of stockholders must provide advance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 not provide for cumulative voting rights, therefore allowing the holders of a majority of the shares of common stock entitled to vote in any election of directors to elect all of the directors standing for election, if they should so choose;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special meetings of our stockholders may be called only by the Chairman of the board, our Chief Executive Officer or by the board of directors pursuant to a resolution adopted by a majority of the total number of authorized directors. </w:t>
            </w:r>
          </w:p>
        </w:tc>
      </w:tr>
    </w:tbl>
    <w:p>
      <w:pPr>
        <w:pStyle w:val="TextBody"/>
        <w:bidi w:val="0"/>
        <w:spacing w:before="160" w:after="0"/>
        <w:jc w:val="left"/>
        <w:rPr>
          <w:rFonts w:ascii="arial" w:hAnsi="arial"/>
          <w:sz w:val="20"/>
        </w:rPr>
      </w:pPr>
      <w:r>
        <w:rPr>
          <w:rFonts w:ascii="arial" w:hAnsi="arial"/>
          <w:sz w:val="20"/>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Such ability to issue preferred stock with voting or conversion rights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 </w:t>
      </w:r>
    </w:p>
    <w:p>
      <w:pPr>
        <w:pStyle w:val="TextBody"/>
        <w:bidi w:val="0"/>
        <w:spacing w:before="160" w:after="0"/>
        <w:jc w:val="left"/>
        <w:rPr>
          <w:rFonts w:ascii="arial" w:hAnsi="arial"/>
          <w:sz w:val="20"/>
        </w:rPr>
      </w:pPr>
      <w:r>
        <w:rPr>
          <w:rFonts w:ascii="arial" w:hAnsi="arial"/>
          <w:sz w:val="20"/>
        </w:rPr>
        <w:t xml:space="preserve">In addition, as a Delaware corporation, we are subject to Section 203 of the Delaware General Corporation Law (“Section 203”).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These and other provisions in our amended and restated certificate of incorporation, amended and restated bylaws and Delaware law could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spacing w:before="160" w:after="0"/>
        <w:jc w:val="left"/>
        <w:rPr>
          <w:rFonts w:ascii="arial" w:hAnsi="arial"/>
          <w:sz w:val="20"/>
        </w:rPr>
      </w:pPr>
      <w:r>
        <w:rPr>
          <w:rFonts w:ascii="arial" w:hAnsi="arial"/>
          <w:sz w:val="20"/>
        </w:rPr>
        <w:t xml:space="preserve">For information regarding these and other provisions, see the section titled “Description of capital stock.” </w:t>
      </w:r>
    </w:p>
    <w:p>
      <w:pPr>
        <w:pStyle w:val="TextBody"/>
        <w:bidi w:val="0"/>
        <w:spacing w:before="160" w:after="0"/>
        <w:jc w:val="left"/>
        <w:rPr>
          <w:rFonts w:ascii="arial" w:hAnsi="arial"/>
          <w:b/>
          <w:i/>
          <w:sz w:val="20"/>
        </w:rPr>
      </w:pPr>
      <w:r>
        <w:rPr>
          <w:rFonts w:ascii="arial" w:hAnsi="arial"/>
          <w:b/>
          <w:i/>
          <w:sz w:val="20"/>
        </w:rPr>
        <w:t xml:space="preserve">Our amended and restated certificate of incorporation will provide that the Court of Chancery of the State of Delaware and any appellate court therefrom will be the exclusive forums for substantially all disputes between us and our stockholders, which could limit our stockholders’ ability to obtain a favorable judicial forum for disputes with us or our directors, officers or employees.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provide that, unless we consent in writing to the selection of an alternative forum, the Court of Chancery of the State of Delaware will be the sole and exclusive forum for the following types of actions or proceedings under Delaware statutory or common law: (i) any derivative claim or cause of action brought on our behalf; (ii) any claim or cause of action that is based upon a violation of a duty owed by any current or former director, officer, other employee or stockholder, to us or our stockholders; (iii) any claim or cause of action against us or any current or former director, officer or other employee,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Delaware General Corporation Law confers jurisdiction on the Court of Chancery of the State of Delaware; and (vi) any claim or cause of action against us or any current or former director, officer or other employee, governed by the internal-affairs doctrine or otherwise related to our internal affairs, in all cases to the fullest extent permitted by applicable law and subject to the court having personal jurisdiction over the indispensable parties named as defendant; provided, however, that if the designation of such court as the sole and exclusive forum for a claim or action referred to in foregoing clauses (i) through (vi) would violate applicable law, then the United States District Court for the District of Delaware shall be the sole and exclusive forum for such claim or cause of action. These provisions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These choice of forum provisions may limit a stockholder’s ability to bring a claim in a judicial forum that it finds favorable for disputes with us or our directors, officers or other employees and may discourage these types of lawsuits and result in increased costs for investors to bring a claim. If a court were to find the choice of forum provisions contained in our amended and restated certificate of incorporation to be inapplicable or unenforceable in an action, we may incur additional costs associated with resolving such action in other jurisdictions. </w:t>
      </w:r>
    </w:p>
    <w:p>
      <w:pPr>
        <w:pStyle w:val="TextBody"/>
        <w:bidi w:val="0"/>
        <w:spacing w:before="320" w:after="0"/>
        <w:jc w:val="left"/>
        <w:rPr>
          <w:rFonts w:ascii="arial" w:hAnsi="arial"/>
          <w:b/>
          <w:sz w:val="24"/>
        </w:rPr>
      </w:pPr>
      <w:r>
        <w:rPr>
          <w:rFonts w:ascii="arial" w:hAnsi="arial"/>
          <w:b/>
          <w:sz w:val="24"/>
        </w:rPr>
        <w:t xml:space="preserve">General risk factors </w:t>
      </w:r>
    </w:p>
    <w:p>
      <w:pPr>
        <w:pStyle w:val="TextBody"/>
        <w:bidi w:val="0"/>
        <w:spacing w:before="160" w:after="0"/>
        <w:jc w:val="left"/>
        <w:rPr>
          <w:rFonts w:ascii="arial" w:hAnsi="arial"/>
          <w:b/>
          <w:i/>
          <w:sz w:val="20"/>
        </w:rPr>
      </w:pPr>
      <w:r>
        <w:rPr>
          <w:rFonts w:ascii="arial" w:hAnsi="arial"/>
          <w:b/>
          <w:i/>
          <w:sz w:val="20"/>
        </w:rPr>
        <w:t xml:space="preserve">Uncertain economic or social conditions may adversely impact demand for our products or cause our customers, vendors and suppliers to suffer financial hardship, which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Our business could be negatively impacted by reduced demand for our products related to one or more significant local, regional or global economic or social disruptions. These disruptions have included and may in the future include a slow-down, recession or inflationary pressures in the general economy, a decrease in foreign business investments, reduced market growth rates, tighter credit markets for us, our suppliers, vendors or customers, a significant shift in government policies (including funding for scientific research or changes in laws or policies governing the terms of foreign trade, in particular increased trade restrictions, tariffs or taxes on imports or exports), significant social unrest or the deterioration of economic relations between countries (such as the United States and China) or regions. Additionally, these and other economic conditions may cause our suppliers, distributors, contractors or other third-party suppliers or manufacturers to suffer financial or operational difficulties that they cannot overcome, resulting in their inability to provide us with the materials and services we need, in which case our business, financial condition and results of operations could be adversely affected. </w:t>
      </w:r>
    </w:p>
    <w:p>
      <w:pPr>
        <w:pStyle w:val="TextBody"/>
        <w:bidi w:val="0"/>
        <w:spacing w:before="160" w:after="0"/>
        <w:jc w:val="left"/>
        <w:rPr>
          <w:rFonts w:ascii="arial" w:hAnsi="arial"/>
          <w:b/>
          <w:i/>
          <w:sz w:val="20"/>
        </w:rPr>
      </w:pPr>
      <w:r>
        <w:rPr>
          <w:rFonts w:ascii="arial" w:hAnsi="arial"/>
          <w:b/>
          <w:i/>
          <w:sz w:val="20"/>
        </w:rPr>
        <w:t xml:space="preserve">We will incur increased costs and become subject to additional regulations and requirements as a result of becoming a public company, and our management will be required to devote substantial time to compliance with our public company responsibilities and corporate governance practices, which could impact our financial condition and results of operations and make it more difficult to run our business. </w:t>
      </w:r>
    </w:p>
    <w:p>
      <w:pPr>
        <w:pStyle w:val="TextBody"/>
        <w:bidi w:val="0"/>
        <w:spacing w:before="160" w:after="0"/>
        <w:jc w:val="left"/>
        <w:rPr>
          <w:rFonts w:ascii="arial" w:hAnsi="arial"/>
          <w:sz w:val="20"/>
        </w:rPr>
      </w:pPr>
      <w:r>
        <w:rPr>
          <w:rFonts w:ascii="arial" w:hAnsi="arial"/>
          <w:sz w:val="20"/>
        </w:rPr>
        <w:t xml:space="preserve">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Furthermore, if we are unable to satisfy our obligations as a public company, we could be subject to delisting of our common stock, fines, sanctions, other regulatory action and potentially civil litigation. Accordingly, increases in costs incurred as a result of becoming a publicly traded company may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and our directors and executive officers may be subject to litigation for a variety of claims, which could harm our reputation and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alleged securities law violations or other investor claims, claims that our employees have wrongfully disclosed or we have wrongfully used proprietary information and other matters. The number and significance of these potential claims and disputes may increase as our business expands. Further, our general liability insurance and employment practices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w:t>
      </w:r>
    </w:p>
    <w:p>
      <w:pPr>
        <w:pStyle w:val="TextBody"/>
        <w:bidi w:val="0"/>
        <w:spacing w:before="160" w:after="0"/>
        <w:jc w:val="left"/>
        <w:rPr>
          <w:rFonts w:ascii="arial" w:hAnsi="arial"/>
          <w:sz w:val="20"/>
        </w:rPr>
      </w:pPr>
      <w:r>
        <w:rPr>
          <w:rFonts w:ascii="arial" w:hAnsi="arial"/>
          <w:sz w:val="20"/>
        </w:rPr>
        <w:t xml:space="preserve">Our directors and executive officers may also be subject to litigation. Our amended and restated certificate of incorporation and our amended and restated bylaws that will be in effect immediately prior to the closing of this offering will authorize us to indemnify our directors, officers, employees and other agents to the fullest extent permitted by Delaware law. The limitation of liability and indemnification provisions in our amended and restated certificate of incorporation and our amended and restated bylaws that will be in effect immediately prior to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We also maintain customary directors’ and officers’ liability insurance. See the section titled “Executive and director compensation—Limitations of liability and indemnification matters.” </w:t>
      </w:r>
    </w:p>
    <w:p>
      <w:pPr>
        <w:pStyle w:val="TextBody"/>
        <w:bidi w:val="0"/>
        <w:spacing w:before="160" w:after="0"/>
        <w:jc w:val="left"/>
        <w:rPr>
          <w:rFonts w:ascii="arial" w:hAnsi="arial"/>
          <w:b/>
          <w:i/>
          <w:sz w:val="20"/>
        </w:rPr>
      </w:pPr>
      <w:r>
        <w:rPr>
          <w:rFonts w:ascii="arial" w:hAnsi="arial"/>
          <w:b/>
          <w:i/>
          <w:sz w:val="20"/>
        </w:rPr>
        <w:t xml:space="preserve">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160" w:after="0"/>
        <w:jc w:val="left"/>
        <w:rPr>
          <w:rFonts w:ascii="arial" w:hAnsi="arial"/>
          <w:sz w:val="20"/>
        </w:rPr>
      </w:pPr>
      <w:r>
        <w:rPr>
          <w:rFonts w:ascii="arial" w:hAnsi="arial"/>
          <w:sz w:val="20"/>
        </w:rPr>
        <w:t xml:space="preserve">Section 404(a) of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 or smaller reporting company. </w:t>
      </w:r>
    </w:p>
    <w:p>
      <w:pPr>
        <w:pStyle w:val="TextBody"/>
        <w:bidi w:val="0"/>
        <w:spacing w:before="160" w:after="0"/>
        <w:jc w:val="left"/>
        <w:rPr>
          <w:rFonts w:ascii="arial" w:hAnsi="arial"/>
          <w:sz w:val="20"/>
        </w:rPr>
      </w:pPr>
      <w:r>
        <w:rPr>
          <w:rFonts w:ascii="arial" w:hAnsi="arial"/>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 controls could also cause investors to lose confidence in our reported financial information, which could have a negative effect on the trading price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disclosure controls and procedures may not prevent or detect all errors or acts of fraud. </w:t>
      </w:r>
    </w:p>
    <w:p>
      <w:pPr>
        <w:pStyle w:val="TextBody"/>
        <w:bidi w:val="0"/>
        <w:spacing w:before="160" w:after="0"/>
        <w:jc w:val="left"/>
        <w:rPr>
          <w:rFonts w:ascii="arial" w:hAnsi="arial"/>
          <w:sz w:val="20"/>
        </w:rPr>
      </w:pPr>
      <w:r>
        <w:rPr>
          <w:rFonts w:ascii="arial" w:hAnsi="arial"/>
          <w:sz w:val="20"/>
        </w:rPr>
        <w:t xml:space="preserve">Upon the closing of this offering, we will be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60" w:after="0"/>
        <w:jc w:val="left"/>
        <w:rPr>
          <w:rFonts w:ascii="arial" w:hAnsi="arial"/>
          <w:sz w:val="20"/>
        </w:rPr>
      </w:pPr>
      <w:r>
        <w:rPr>
          <w:rFonts w:ascii="arial" w:hAnsi="arial"/>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60" w:after="0"/>
        <w:jc w:val="left"/>
        <w:rPr>
          <w:rFonts w:ascii="arial" w:hAnsi="arial"/>
          <w:b/>
          <w:i/>
          <w:sz w:val="20"/>
        </w:rPr>
      </w:pPr>
      <w:r>
        <w:rPr>
          <w:rFonts w:ascii="arial" w:hAnsi="arial"/>
          <w:b/>
          <w:i/>
          <w:sz w:val="20"/>
        </w:rPr>
        <w:t xml:space="preserve">We could be subject to securities class action litigation. </w:t>
      </w:r>
    </w:p>
    <w:p>
      <w:pPr>
        <w:pStyle w:val="TextBody"/>
        <w:bidi w:val="0"/>
        <w:spacing w:before="160" w:after="0"/>
        <w:jc w:val="left"/>
        <w:rPr>
          <w:rFonts w:ascii="arial" w:hAnsi="arial"/>
          <w:sz w:val="20"/>
        </w:rPr>
      </w:pPr>
      <w:r>
        <w:rPr>
          <w:rFonts w:ascii="arial" w:hAnsi="arial"/>
          <w:sz w:val="20"/>
        </w:rPr>
        <w:t xml:space="preserve">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160" w:after="0"/>
        <w:jc w:val="left"/>
        <w:rPr>
          <w:rFonts w:ascii="arial" w:hAnsi="arial"/>
          <w:b/>
          <w:i/>
          <w:sz w:val="20"/>
        </w:rPr>
      </w:pPr>
      <w:r>
        <w:rPr>
          <w:rFonts w:ascii="arial" w:hAnsi="arial"/>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160" w:after="0"/>
        <w:jc w:val="left"/>
        <w:rPr>
          <w:rFonts w:ascii="arial" w:hAnsi="arial"/>
          <w:sz w:val="20"/>
        </w:rPr>
      </w:pPr>
      <w:r>
        <w:rPr>
          <w:rFonts w:ascii="arial" w:hAnsi="arial"/>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 </w:t>
      </w:r>
    </w:p>
    <w:p>
      <w:pPr>
        <w:pStyle w:val="TextBody"/>
        <w:bidi w:val="0"/>
        <w:spacing w:before="160" w:after="0"/>
        <w:jc w:val="left"/>
        <w:rPr>
          <w:rFonts w:ascii="arial" w:hAnsi="arial"/>
          <w:b/>
          <w:i/>
          <w:sz w:val="20"/>
        </w:rPr>
      </w:pPr>
      <w:r>
        <w:rPr>
          <w:rFonts w:ascii="arial" w:hAnsi="arial"/>
          <w:b/>
          <w:i/>
          <w:sz w:val="20"/>
        </w:rPr>
        <w:t xml:space="preserve">Our insurance policies may be inadequate, may not cover all of our potential liabilities and may potentially expose us to unrecoverable risks. </w:t>
      </w:r>
    </w:p>
    <w:p>
      <w:pPr>
        <w:pStyle w:val="TextBody"/>
        <w:bidi w:val="0"/>
        <w:spacing w:before="160" w:after="0"/>
        <w:jc w:val="left"/>
        <w:rPr>
          <w:rFonts w:ascii="arial" w:hAnsi="arial"/>
          <w:sz w:val="20"/>
        </w:rPr>
      </w:pPr>
      <w:r>
        <w:rPr>
          <w:rFonts w:ascii="arial" w:hAnsi="arial"/>
          <w:sz w:val="20"/>
        </w:rPr>
        <w:t xml:space="preserve">We do not carry insurance for all categories of risk that our business may encounter. Some of the policies we currently maintain include property, general liability, employee benefits liability, business automobile, workers’ compensation, products liability, cybersecurity liability, directors’ and officers’ and marine and cargo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able to obtain appropriate insurance coverage and insurers may not respond as we intend to cover insurable events that may occur. Any significant uninsured liability such as litigation-related costs may require us to pay substantial amounts, which would materially adversely affect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Evolving expectations around corporate responsibility practices, specifically related to environmental, social and governance matters, may expose us to reputational and other risks. </w:t>
      </w:r>
    </w:p>
    <w:p>
      <w:pPr>
        <w:pStyle w:val="TextBody"/>
        <w:bidi w:val="0"/>
        <w:spacing w:before="160" w:after="0"/>
        <w:jc w:val="left"/>
        <w:rPr>
          <w:rFonts w:ascii="arial" w:hAnsi="arial"/>
          <w:sz w:val="20"/>
        </w:rPr>
      </w:pPr>
      <w:r>
        <w:rPr>
          <w:rFonts w:ascii="arial" w:hAnsi="arial"/>
          <w:sz w:val="20"/>
        </w:rPr>
        <w:t xml:space="preserve">Investors, stockholders, customers, suppliers and other third parties are increasingly focusing on environmental, social and governance (“ESG”) and corporate social responsibility endeavors and reporting. Companies that do not adapt to or comply with the evolving investor or stakeholder expectations and standards, or that are perceived to have not responded appropriately, may suffer from reputational damage, which could result in the business, financial condition and/or stock price of a company being materially and adversely affected. Further, this increased focus on ESG issues may result in new regulations and/or third-party requirements that could adversely impact our business, or certain shareholders reducing or eliminating their holdings of our stock. Additionally, an allegation or perception that we have not taken sufficient action in these areas could negatively harm our reputation. </w:t>
      </w:r>
    </w:p>
    <w:p>
      <w:pPr>
        <w:pStyle w:val="TextBody"/>
        <w:bidi w:val="0"/>
        <w:spacing w:before="160" w:after="0"/>
        <w:jc w:val="left"/>
        <w:rPr>
          <w:rFonts w:ascii="arial" w:hAnsi="arial"/>
          <w:b/>
          <w:i/>
          <w:sz w:val="20"/>
        </w:rPr>
      </w:pPr>
      <w:r>
        <w:rPr>
          <w:rFonts w:ascii="arial" w:hAnsi="arial"/>
          <w:b/>
          <w:i/>
          <w:sz w:val="20"/>
        </w:rPr>
        <w:t xml:space="preserve">Future changes in financial accounting standards or practices may cause adverse and unexpected revenue fluctuations and adversely affect our reported results of operations. </w:t>
      </w:r>
    </w:p>
    <w:p>
      <w:pPr>
        <w:pStyle w:val="TextBody"/>
        <w:bidi w:val="0"/>
        <w:spacing w:before="160" w:after="0"/>
        <w:jc w:val="left"/>
        <w:rPr>
          <w:rFonts w:ascii="arial" w:hAnsi="arial"/>
          <w:sz w:val="20"/>
        </w:rPr>
      </w:pPr>
      <w:r>
        <w:rPr>
          <w:rFonts w:ascii="arial" w:hAnsi="arial"/>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selling, general and administrative expenses and a diversion of management time and attention from business activities to compliance activities. See the section titled “Management’s discussion and analysis of financial condition and results of operations—Recent accounting pronouncements.” As an emerging growth company, the JOBS Act allows us to delay adoption of new or revised accounting standards applicable to public companies until such pronouncements are made applicable to private companies. We have elected to use the extended transition period for complying with new or revised accounting standards and as a result of this election, our consolidated financial statements may not be comparable to companies that comply with public company effective dates. However, we may elect to early adopt any new or revised accounting standards whenever such early adoption is permitted for non-public companies. We may take advantage of these exemptions up until the time that we are no longer an emerging growth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8" w:name="toc39680_3"/>
      <w:bookmarkEnd w:id="8"/>
      <w:r>
        <w:rPr>
          <w:rFonts w:ascii="arial" w:hAnsi="arial"/>
          <w:b/>
          <w:sz w:val="32"/>
        </w:rPr>
        <w:t xml:space="preserve">Special note regarding forward-looking statements </w:t>
      </w:r>
    </w:p>
    <w:p>
      <w:pPr>
        <w:pStyle w:val="TextBody"/>
        <w:bidi w:val="0"/>
        <w:spacing w:before="160" w:after="0"/>
        <w:jc w:val="left"/>
        <w:rPr>
          <w:rFonts w:ascii="arial" w:hAnsi="arial"/>
          <w:sz w:val="20"/>
        </w:rPr>
      </w:pPr>
      <w:r>
        <w:rPr>
          <w:rFonts w:ascii="arial" w:hAnsi="arial"/>
          <w:sz w:val="20"/>
        </w:rPr>
        <w:t xml:space="preserve">This prospectus contains forward-looking statements that are based on our management’s beliefs and assumptions and on information currently available to our management. Some of the statements under the sections titled “Prospectus summary,” “Risk factors,” “Management’s discussion and analysis of financial condition and results of operations” and “Business” and elsewhere in this prospectus contain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t>
      </w:r>
    </w:p>
    <w:p>
      <w:pPr>
        <w:pStyle w:val="TextBody"/>
        <w:bidi w:val="0"/>
        <w:spacing w:before="160" w:after="0"/>
        <w:jc w:val="left"/>
        <w:rPr>
          <w:rFonts w:ascii="arial" w:hAnsi="arial"/>
          <w:sz w:val="20"/>
        </w:rPr>
      </w:pPr>
      <w:r>
        <w:rPr>
          <w:rFonts w:ascii="arial" w:hAnsi="arial"/>
          <w:sz w:val="20"/>
        </w:rPr>
        <w:t xml:space="preserve">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estimates of our addressable market, market growth, future revenue,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potential benefits of our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timing of potential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rate and degree of market acceptance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competitive companies and technologies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our ability to manage and grow our business and develop and commercialize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establish and maintain intellectual property protection for our products or avoid or defend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performance of third-party manufacturers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potential effects of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hire and retain key personnel and to manage our future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obtain additional financing in this or future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the volatility of the trading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expected use of the net proceeds to us from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period during which we qualify as an “emerging growth company” under the JOBS Act, and a “smaller reporting company,” as defined in Rule 12b-2 of the Exchange Act. </w:t>
            </w:r>
          </w:p>
        </w:tc>
      </w:tr>
    </w:tbl>
    <w:p>
      <w:pPr>
        <w:pStyle w:val="TextBody"/>
        <w:bidi w:val="0"/>
        <w:spacing w:before="160" w:after="0"/>
        <w:jc w:val="left"/>
        <w:rPr>
          <w:rFonts w:ascii="arial" w:hAnsi="arial"/>
          <w:sz w:val="20"/>
        </w:rPr>
      </w:pPr>
      <w:r>
        <w:rPr>
          <w:rFonts w:ascii="arial" w:hAnsi="arial"/>
          <w:sz w:val="20"/>
        </w:rPr>
        <w:t xml:space="preserve">You should refer to the section titled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160" w:after="0"/>
        <w:jc w:val="left"/>
        <w:rPr>
          <w:rFonts w:ascii="arial" w:hAnsi="arial"/>
          <w:sz w:val="20"/>
        </w:rPr>
      </w:pPr>
      <w:r>
        <w:rPr>
          <w:rFonts w:ascii="arial" w:hAnsi="arial"/>
          <w:sz w:val="20"/>
        </w:rPr>
        <w:t xml:space="preserve">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9" w:name="toc39680_4"/>
      <w:bookmarkEnd w:id="9"/>
      <w:r>
        <w:rPr>
          <w:rFonts w:ascii="arial" w:hAnsi="arial"/>
          <w:b/>
          <w:sz w:val="32"/>
        </w:rPr>
        <w:t xml:space="preserve">Market, industry and other data </w:t>
      </w:r>
    </w:p>
    <w:p>
      <w:pPr>
        <w:pStyle w:val="TextBody"/>
        <w:bidi w:val="0"/>
        <w:spacing w:before="160" w:after="0"/>
        <w:jc w:val="left"/>
        <w:rPr>
          <w:rFonts w:ascii="arial" w:hAnsi="arial"/>
          <w:sz w:val="20"/>
        </w:rPr>
      </w:pPr>
      <w:r>
        <w:rPr>
          <w:rFonts w:ascii="arial" w:hAnsi="arial"/>
          <w:sz w:val="20"/>
        </w:rPr>
        <w:t xml:space="preserve">Certain market, industry and competitive data included in this prospectus were obtained from our own internal estimates as well as the following industry reports prepared by third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MarketsandMarkets, </w:t>
            </w:r>
            <w:r>
              <w:rPr>
                <w:rFonts w:ascii="arial" w:hAnsi="arial"/>
                <w:i/>
                <w:sz w:val="20"/>
              </w:rPr>
              <w:t>Proteomics Market Size &amp; Growth Forecast to 2030,</w:t>
            </w:r>
            <w:r>
              <w:rPr>
                <w:rFonts w:ascii="arial" w:hAnsi="arial"/>
                <w:sz w:val="20"/>
              </w:rPr>
              <w:t xml:space="preserve"> March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DeciBio Consulting LLC, </w:t>
            </w:r>
            <w:r>
              <w:rPr>
                <w:rFonts w:ascii="arial" w:hAnsi="arial"/>
                <w:i/>
                <w:sz w:val="20"/>
              </w:rPr>
              <w:t>Proteomics Tools Report (2025 – 2030): Research &amp; Clinical Markets,</w:t>
            </w:r>
            <w:r>
              <w:rPr>
                <w:rFonts w:ascii="arial" w:hAnsi="arial"/>
                <w:sz w:val="20"/>
              </w:rPr>
              <w:t xml:space="preserve"> October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MarketsandMarkets, </w:t>
            </w:r>
            <w:r>
              <w:rPr>
                <w:rFonts w:ascii="arial" w:hAnsi="arial"/>
                <w:i/>
                <w:sz w:val="20"/>
              </w:rPr>
              <w:t>Mass Spectrometry Market Size &amp; Growth Forecast to 2030,</w:t>
            </w:r>
            <w:r>
              <w:rPr>
                <w:rFonts w:ascii="arial" w:hAnsi="arial"/>
                <w:sz w:val="20"/>
              </w:rPr>
              <w:t xml:space="preserve"> February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DeciBio Consulting LLC, </w:t>
            </w:r>
            <w:r>
              <w:rPr>
                <w:rFonts w:ascii="arial" w:hAnsi="arial"/>
                <w:i/>
                <w:sz w:val="20"/>
              </w:rPr>
              <w:t>Life Science Research Tools Market Size, Growth, and Trends (2019 - 2027),</w:t>
            </w:r>
            <w:r>
              <w:rPr>
                <w:rFonts w:ascii="arial" w:hAnsi="arial"/>
                <w:sz w:val="20"/>
              </w:rPr>
              <w:t xml:space="preserve"> March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Precedence Research, </w:t>
            </w:r>
            <w:r>
              <w:rPr>
                <w:rFonts w:ascii="arial" w:hAnsi="arial"/>
                <w:i/>
                <w:sz w:val="20"/>
              </w:rPr>
              <w:t>Immunoassay Market Size, Share and Trends 2026 – 2035,</w:t>
            </w:r>
            <w:r>
              <w:rPr>
                <w:rFonts w:ascii="arial" w:hAnsi="arial"/>
                <w:sz w:val="20"/>
              </w:rPr>
              <w:t xml:space="preserve"> 2025. </w:t>
            </w:r>
          </w:p>
        </w:tc>
      </w:tr>
    </w:tbl>
    <w:p>
      <w:pPr>
        <w:pStyle w:val="TextBody"/>
        <w:bidi w:val="0"/>
        <w:spacing w:before="160" w:after="0"/>
        <w:jc w:val="left"/>
        <w:rPr>
          <w:rFonts w:ascii="arial" w:hAnsi="arial"/>
          <w:sz w:val="20"/>
        </w:rPr>
      </w:pPr>
      <w:r>
        <w:rPr>
          <w:rFonts w:ascii="arial" w:hAnsi="arial"/>
          <w:sz w:val="20"/>
        </w:rPr>
        <w:t xml:space="preserve">While we have compiled, extracted and reproduced industry data from these sources, we have not independently verified the data. All of the market and industry data used in this prospectus is inherently subject to uncertainties and involve a number of assumptions and limitations, and you are cautioned not to give undue weight to such information.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 for additional information. </w:t>
      </w:r>
    </w:p>
    <w:p>
      <w:pPr>
        <w:pStyle w:val="TextBody"/>
        <w:bidi w:val="0"/>
        <w:spacing w:before="160" w:after="0"/>
        <w:jc w:val="left"/>
        <w:rPr>
          <w:rFonts w:ascii="arial" w:hAnsi="arial"/>
          <w:sz w:val="20"/>
        </w:rPr>
      </w:pPr>
      <w:r>
        <w:rPr>
          <w:rFonts w:ascii="arial" w:hAnsi="arial"/>
          <w:sz w:val="20"/>
        </w:rPr>
        <w:t xml:space="preserve">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 </w:t>
      </w:r>
    </w:p>
    <w:p>
      <w:pPr>
        <w:pStyle w:val="TextBody"/>
        <w:bidi w:val="0"/>
        <w:spacing w:before="160" w:after="0"/>
        <w:jc w:val="left"/>
        <w:rPr>
          <w:rFonts w:ascii="arial" w:hAnsi="arial"/>
          <w:sz w:val="20"/>
        </w:rPr>
      </w:pPr>
      <w:r>
        <w:rPr>
          <w:rFonts w:ascii="arial" w:hAnsi="arial"/>
          <w:sz w:val="20"/>
        </w:rPr>
        <w:t xml:space="preserve">The content of the above sources, except to the extent specifically set forth in this prospectus, does not constitute a portion of this prospectus and is not incorporated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0" w:name="toc39680_5"/>
      <w:bookmarkEnd w:id="10"/>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estimate that the net proceeds from this offering will be approximately $171.5 million (or approximately $198.2 million if the underwriters exercise their option to purchase 1,687,500 additional shares in full), based on the initial public offering price of $17.00 per share, after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and cash equivalents for capital and operating expenditures to scale our organization and capabilities in support of future growth, such as by expanding our commercial sales and support function, increasing manufacturing capacity and enhancing our research and development organization to expand product content, and the remainder for working capital and general corporate purposes. We have not identified any material one-time capital expenditures at this time. We may also use a portion of the net proceeds for strategic investments in complementary businesses, services, products or technologies. However, we do not have agreements or commitments to enter into any such acquisitions or investments at this time. </w:t>
      </w:r>
    </w:p>
    <w:p>
      <w:pPr>
        <w:pStyle w:val="TextBody"/>
        <w:bidi w:val="0"/>
        <w:spacing w:before="160" w:after="0"/>
        <w:jc w:val="left"/>
        <w:rPr>
          <w:rFonts w:ascii="arial" w:hAnsi="arial"/>
          <w:sz w:val="20"/>
        </w:rPr>
      </w:pPr>
      <w:r>
        <w:rPr>
          <w:rFonts w:ascii="arial" w:hAnsi="arial"/>
          <w:sz w:val="20"/>
        </w:rPr>
        <w:t xml:space="preserve">We cannot predict with certainty all of the particular uses for the proceeds of this offering or the amounts that we will actually spend on the uses set forth above. Accordingly, our management will have broad discretion in applying the net proceeds of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application, we intend to invest the net proceeds in short-term, interest-bearing, investment-grade investments, certificates of deposit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1" w:name="toc39680_6"/>
      <w:bookmarkEnd w:id="11"/>
      <w:r>
        <w:rPr>
          <w:rFonts w:ascii="arial" w:hAnsi="arial"/>
          <w:b/>
          <w:sz w:val="32"/>
        </w:rPr>
        <w:t xml:space="preserve">Dividend policy </w:t>
      </w:r>
    </w:p>
    <w:p>
      <w:pPr>
        <w:pStyle w:val="TextBody"/>
        <w:bidi w:val="0"/>
        <w:spacing w:before="160" w:after="0"/>
        <w:jc w:val="left"/>
        <w:rPr>
          <w:rFonts w:ascii="arial" w:hAnsi="arial"/>
          <w:sz w:val="20"/>
        </w:rPr>
      </w:pPr>
      <w:r>
        <w:rPr>
          <w:rFonts w:ascii="arial" w:hAnsi="arial"/>
          <w:sz w:val="20"/>
        </w:rPr>
        <w:t xml:space="preserve">We do not anticipate declaring or paying, in the foreseeable future, any cash dividends on our capital stock. We intend to retain all available funds and future earnings, if any, to fund the development and expansion of our business. The terms of our SVB Loan Agreement also limit our ability to pay dividends, and we may enter into additional credit agreements or other borrowing arrangements in the future that may restrict our ability to declare or pay cash dividends on our capital stock.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2" w:name="toc39680_7"/>
      <w:bookmarkEnd w:id="12"/>
      <w:r>
        <w:rPr>
          <w:rFonts w:ascii="arial" w:hAnsi="arial"/>
          <w:b/>
          <w:sz w:val="32"/>
        </w:rPr>
        <w:t xml:space="preserve">Capitalization </w:t>
      </w:r>
    </w:p>
    <w:p>
      <w:pPr>
        <w:pStyle w:val="TextBody"/>
        <w:bidi w:val="0"/>
        <w:spacing w:before="160" w:after="0"/>
        <w:jc w:val="left"/>
        <w:rPr>
          <w:rFonts w:ascii="arial" w:hAnsi="arial"/>
          <w:sz w:val="20"/>
        </w:rPr>
      </w:pPr>
      <w:r>
        <w:rPr>
          <w:rFonts w:ascii="arial" w:hAnsi="arial"/>
          <w:sz w:val="20"/>
        </w:rPr>
        <w:t xml:space="preserve">The following table sets forth our cash and cash equivalents and capitalization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on a pro forma basis, giving effect to (i) the issuance of the Convertible Notes in January 2026 for aggregate net proceeds of approximately $56.2 million, (ii) the Preferred Stock Conversion, the Founders Preferred Stock Conversion (and the related reclassification of the carrying value of our convertible preferred stock to permanent equity in connection with the closing of this offering), the Class A Conversion, the Common Stock Redesignation and the Convertible Notes Conversion, (iii) the Series C Warrant Conversion (and the related reclassification of warrant liability to stockholders’ equity), and (iv) the filing and effectiveness of our amended and restated certificate of incorporation, each of which will occur immediately prior to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on a pro forma as adjusted basis, giving effect to (i) the pro forma adjustments set forth above and (ii) the issuance and sale of shares of common stock in this offering at the initial public offering price of $17.00 per share, after deducting the underwriting discounts and commissions and estimated offering expenses payable by us.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You should read the information in this table together with our consolidated financial statements and related notes included elsewhere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6"/>
        <w:gridCol w:w="170"/>
        <w:gridCol w:w="140"/>
        <w:gridCol w:w="881"/>
        <w:gridCol w:w="155"/>
        <w:gridCol w:w="117"/>
        <w:gridCol w:w="147"/>
        <w:gridCol w:w="923"/>
        <w:gridCol w:w="155"/>
        <w:gridCol w:w="117"/>
        <w:gridCol w:w="171"/>
        <w:gridCol w:w="1092"/>
        <w:gridCol w:w="161"/>
      </w:tblGrid>
      <w:tr>
        <w:trPr/>
        <w:tc>
          <w:tcPr>
            <w:tcW w:w="597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976" w:type="dxa"/>
            <w:tcBorders>
              <w:top w:val="single" w:sz="16" w:space="0" w:color="000000"/>
            </w:tcBorders>
            <w:tcMar>
              <w:top w:w="28" w:type="dxa"/>
            </w:tcMar>
            <w:vAlign w:val="center"/>
          </w:tcPr>
          <w:p>
            <w:pPr>
              <w:pStyle w:val="TableContents"/>
              <w:bidi w:val="0"/>
              <w:spacing w:before="0" w:after="283"/>
              <w:jc w:val="left"/>
              <w:rPr/>
            </w:pPr>
            <w:r>
              <w:rPr/>
              <w:t> </w:t>
            </w:r>
          </w:p>
        </w:tc>
        <w:tc>
          <w:tcPr>
            <w:tcW w:w="4229"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97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898"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December 31, 2025</w:t>
            </w:r>
          </w:p>
        </w:tc>
        <w:tc>
          <w:tcPr>
            <w:tcW w:w="161" w:type="dxa"/>
            <w:tcBorders/>
            <w:vAlign w:val="bottom"/>
          </w:tcPr>
          <w:p>
            <w:pPr>
              <w:pStyle w:val="TableContents"/>
              <w:bidi w:val="0"/>
              <w:spacing w:before="0" w:after="283"/>
              <w:jc w:val="left"/>
              <w:rPr/>
            </w:pPr>
            <w:r>
              <w:rPr/>
              <w:t> </w:t>
            </w:r>
          </w:p>
        </w:tc>
      </w:tr>
      <w:tr>
        <w:trPr/>
        <w:tc>
          <w:tcPr>
            <w:tcW w:w="5976"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amounts)</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107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1263"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br/>
              <w:t>as adjusted(1)</w:t>
            </w:r>
          </w:p>
        </w:tc>
        <w:tc>
          <w:tcPr>
            <w:tcW w:w="1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97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898" w:type="dxa"/>
            <w:gridSpan w:val="10"/>
            <w:tcBorders/>
            <w:vAlign w:val="bottom"/>
          </w:tcPr>
          <w:p>
            <w:pPr>
              <w:pStyle w:val="TableContents"/>
              <w:bidi w:val="0"/>
              <w:spacing w:before="0" w:after="20"/>
              <w:jc w:val="center"/>
              <w:rPr>
                <w:rFonts w:ascii="arial" w:hAnsi="arial"/>
                <w:b/>
                <w:sz w:val="18"/>
              </w:rPr>
            </w:pPr>
            <w:r>
              <w:rPr>
                <w:rFonts w:ascii="arial" w:hAnsi="arial"/>
                <w:b/>
                <w:sz w:val="18"/>
              </w:rPr>
              <w:t>(unaudited)</w:t>
            </w:r>
          </w:p>
        </w:tc>
        <w:tc>
          <w:tcPr>
            <w:tcW w:w="161" w:type="dxa"/>
            <w:tcBorders/>
            <w:vAlign w:val="bottom"/>
          </w:tcPr>
          <w:p>
            <w:pPr>
              <w:pStyle w:val="TableContents"/>
              <w:bidi w:val="0"/>
              <w:spacing w:before="0" w:after="283"/>
              <w:jc w:val="left"/>
              <w:rPr/>
            </w:pPr>
            <w:r>
              <w:rPr/>
              <w:t> </w:t>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30,002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86,178</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92" w:type="dxa"/>
            <w:tcBorders/>
            <w:shd w:fill="CCEEFF" w:val="clear"/>
            <w:vAlign w:val="bottom"/>
          </w:tcPr>
          <w:p>
            <w:pPr>
              <w:pStyle w:val="TableContents"/>
              <w:bidi w:val="0"/>
              <w:spacing w:before="0" w:after="283"/>
              <w:jc w:val="right"/>
              <w:rPr/>
            </w:pPr>
            <w:r>
              <w:rPr/>
              <w:t>258,246</w:t>
            </w:r>
          </w:p>
        </w:tc>
        <w:tc>
          <w:tcPr>
            <w:tcW w:w="161" w:type="dxa"/>
            <w:tcBorders/>
            <w:shd w:fill="CCEEFF" w:val="clear"/>
            <w:vAlign w:val="bottom"/>
          </w:tcPr>
          <w:p>
            <w:pPr>
              <w:pStyle w:val="TableContents"/>
              <w:bidi w:val="0"/>
              <w:spacing w:before="0" w:after="283"/>
              <w:jc w:val="left"/>
              <w:rPr/>
            </w:pPr>
            <w:r>
              <w:rPr/>
              <w:t> </w:t>
            </w:r>
          </w:p>
        </w:tc>
      </w:tr>
      <w:tr>
        <w:trPr/>
        <w:tc>
          <w:tcPr>
            <w:tcW w:w="597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758" w:type="dxa"/>
            <w:gridSpan w:val="9"/>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240" w:hRule="atLeast"/>
        </w:trPr>
        <w:tc>
          <w:tcPr>
            <w:tcW w:w="5976" w:type="dxa"/>
            <w:tcBorders/>
            <w:vAlign w:val="center"/>
          </w:tcPr>
          <w:p>
            <w:pPr>
              <w:pStyle w:val="TableContents"/>
              <w:bidi w:val="0"/>
              <w:spacing w:before="0" w:after="283"/>
              <w:jc w:val="left"/>
              <w:rPr>
                <w:sz w:val="4"/>
                <w:szCs w:val="4"/>
              </w:rPr>
            </w:pPr>
            <w:r>
              <w:rPr>
                <w:sz w:val="4"/>
                <w:szCs w:val="4"/>
              </w:rPr>
            </w:r>
          </w:p>
        </w:tc>
        <w:tc>
          <w:tcPr>
            <w:tcW w:w="1346"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r>
      <w:tr>
        <w:trPr/>
        <w:tc>
          <w:tcPr>
            <w:tcW w:w="5976" w:type="dxa"/>
            <w:tcBorders/>
          </w:tcPr>
          <w:p>
            <w:pPr>
              <w:pStyle w:val="TableContents"/>
              <w:bidi w:val="0"/>
              <w:spacing w:before="0" w:after="0"/>
              <w:jc w:val="left"/>
              <w:rPr>
                <w:rFonts w:ascii="arial" w:hAnsi="arial"/>
                <w:sz w:val="20"/>
              </w:rPr>
            </w:pPr>
            <w:r>
              <w:rPr>
                <w:rFonts w:ascii="arial" w:hAnsi="arial"/>
                <w:sz w:val="20"/>
              </w:rPr>
              <w:t>Warrant liabilities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1" w:type="dxa"/>
            <w:tcBorders/>
            <w:vAlign w:val="bottom"/>
          </w:tcPr>
          <w:p>
            <w:pPr>
              <w:pStyle w:val="TableContents"/>
              <w:bidi w:val="0"/>
              <w:spacing w:before="0" w:after="283"/>
              <w:jc w:val="right"/>
              <w:rPr/>
            </w:pPr>
            <w:r>
              <w:rPr/>
              <w:t>247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9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Total debt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9,810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9,810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9,810</w:t>
            </w:r>
          </w:p>
        </w:tc>
        <w:tc>
          <w:tcPr>
            <w:tcW w:w="161" w:type="dxa"/>
            <w:tcBorders/>
            <w:shd w:fill="CCEEFF" w:val="clear"/>
            <w:vAlign w:val="bottom"/>
          </w:tcPr>
          <w:p>
            <w:pPr>
              <w:pStyle w:val="TableContents"/>
              <w:bidi w:val="0"/>
              <w:spacing w:before="0" w:after="283"/>
              <w:jc w:val="left"/>
              <w:rPr/>
            </w:pPr>
            <w:r>
              <w:rPr/>
              <w:t> </w:t>
            </w:r>
          </w:p>
        </w:tc>
      </w:tr>
      <w:tr>
        <w:trPr/>
        <w:tc>
          <w:tcPr>
            <w:tcW w:w="5976" w:type="dxa"/>
            <w:tcBorders/>
          </w:tcPr>
          <w:p>
            <w:pPr>
              <w:pStyle w:val="TableContents"/>
              <w:bidi w:val="0"/>
              <w:spacing w:before="0" w:after="0"/>
              <w:jc w:val="left"/>
              <w:rPr>
                <w:rFonts w:ascii="arial" w:hAnsi="arial"/>
                <w:sz w:val="20"/>
              </w:rPr>
            </w:pPr>
            <w:r>
              <w:rPr>
                <w:rFonts w:ascii="arial" w:hAnsi="arial"/>
                <w:sz w:val="20"/>
              </w:rPr>
              <w:t>Convertible preferred stock, $0.0001 par value per share; 92,419,678 shares authorized, 92,344,110 shares issued and outstanding, actual; and no shares authorized, issued and outstanding, pro forma and pro forma as adjusted</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234,996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rHeight w:val="75" w:hRule="atLeast"/>
        </w:trPr>
        <w:tc>
          <w:tcPr>
            <w:tcW w:w="5976" w:type="dxa"/>
            <w:tcBorders/>
            <w:vAlign w:val="center"/>
          </w:tcPr>
          <w:p>
            <w:pPr>
              <w:pStyle w:val="TableContents"/>
              <w:bidi w:val="0"/>
              <w:spacing w:before="0" w:after="283"/>
              <w:jc w:val="left"/>
              <w:rPr>
                <w:sz w:val="4"/>
                <w:szCs w:val="4"/>
              </w:rPr>
            </w:pPr>
            <w:r>
              <w:rPr>
                <w:sz w:val="4"/>
                <w:szCs w:val="4"/>
              </w:rPr>
            </w:r>
          </w:p>
        </w:tc>
        <w:tc>
          <w:tcPr>
            <w:tcW w:w="1346" w:type="dxa"/>
            <w:gridSpan w:val="4"/>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Stockholders’ (deficit) equity:</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8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tcPr>
          <w:p>
            <w:pPr>
              <w:pStyle w:val="TableContents"/>
              <w:bidi w:val="0"/>
              <w:spacing w:before="0" w:after="283"/>
              <w:jc w:val="left"/>
              <w:rPr>
                <w:sz w:val="4"/>
                <w:szCs w:val="4"/>
              </w:rPr>
            </w:pPr>
            <w:r>
              <w:rPr>
                <w:sz w:val="4"/>
                <w:szCs w:val="4"/>
              </w:rPr>
            </w:r>
          </w:p>
        </w:tc>
        <w:tc>
          <w:tcPr>
            <w:tcW w:w="92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tcPr>
          <w:p>
            <w:pPr>
              <w:pStyle w:val="TableContents"/>
              <w:bidi w:val="0"/>
              <w:spacing w:before="0" w:after="283"/>
              <w:jc w:val="left"/>
              <w:rPr>
                <w:sz w:val="4"/>
                <w:szCs w:val="4"/>
              </w:rPr>
            </w:pPr>
            <w:r>
              <w:rPr>
                <w:sz w:val="4"/>
                <w:szCs w:val="4"/>
              </w:rPr>
            </w:r>
          </w:p>
        </w:tc>
        <w:tc>
          <w:tcPr>
            <w:tcW w:w="1092" w:type="dxa"/>
            <w:tcBorders/>
            <w:shd w:fill="CCEEFF" w:val="clear"/>
          </w:tcPr>
          <w:p>
            <w:pPr>
              <w:pStyle w:val="TableContents"/>
              <w:bidi w:val="0"/>
              <w:spacing w:before="0" w:after="283"/>
              <w:jc w:val="left"/>
              <w:rPr>
                <w:sz w:val="4"/>
                <w:szCs w:val="4"/>
              </w:rPr>
            </w:pPr>
            <w:r>
              <w:rPr>
                <w:sz w:val="4"/>
                <w:szCs w:val="4"/>
              </w:rPr>
            </w:r>
          </w:p>
        </w:tc>
        <w:tc>
          <w:tcPr>
            <w:tcW w:w="161" w:type="dxa"/>
            <w:tcBorders/>
            <w:shd w:fill="CCEEFF" w:val="clear"/>
          </w:tcPr>
          <w:p>
            <w:pPr>
              <w:pStyle w:val="TableContents"/>
              <w:bidi w:val="0"/>
              <w:spacing w:before="0" w:after="283"/>
              <w:jc w:val="left"/>
              <w:rPr>
                <w:sz w:val="4"/>
                <w:szCs w:val="4"/>
              </w:rPr>
            </w:pPr>
            <w:r>
              <w:rPr>
                <w:sz w:val="4"/>
                <w:szCs w:val="4"/>
              </w:rPr>
            </w:r>
          </w:p>
        </w:tc>
      </w:tr>
      <w:tr>
        <w:trPr/>
        <w:tc>
          <w:tcPr>
            <w:tcW w:w="5976" w:type="dxa"/>
            <w:tcBorders/>
          </w:tcPr>
          <w:p>
            <w:pPr>
              <w:pStyle w:val="TableContents"/>
              <w:bidi w:val="0"/>
              <w:spacing w:before="0" w:after="0"/>
              <w:jc w:val="left"/>
              <w:rPr>
                <w:rFonts w:ascii="arial" w:hAnsi="arial"/>
                <w:sz w:val="20"/>
              </w:rPr>
            </w:pPr>
            <w:r>
              <w:rPr>
                <w:rFonts w:ascii="arial" w:hAnsi="arial"/>
                <w:sz w:val="20"/>
              </w:rPr>
              <w:t>Preferred stock, $0.0001 par value; no shares authorized, issued and outstanding, actual; 20,000,000 shares authorized, no shares issued and outstanding, pro forma and pro forma as adjusted</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Common stock, $0.0001 par value per share; no shares authorized, issued and outstanding, actual; 1,000,000,000 shares authorized, 55,271,425 shares issued and outstanding, pro forma; 1,000,000,000 shares authorized, 66,521,425 shares issued and outstanding, pro forma as adjusted</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6</w:t>
            </w:r>
          </w:p>
        </w:tc>
        <w:tc>
          <w:tcPr>
            <w:tcW w:w="161" w:type="dxa"/>
            <w:tcBorders/>
            <w:shd w:fill="CCEEFF" w:val="clear"/>
            <w:vAlign w:val="bottom"/>
          </w:tcPr>
          <w:p>
            <w:pPr>
              <w:pStyle w:val="TableContents"/>
              <w:bidi w:val="0"/>
              <w:spacing w:before="0" w:after="283"/>
              <w:jc w:val="left"/>
              <w:rPr/>
            </w:pPr>
            <w:r>
              <w:rPr/>
              <w:t> </w:t>
            </w:r>
          </w:p>
        </w:tc>
      </w:tr>
      <w:tr>
        <w:trPr/>
        <w:tc>
          <w:tcPr>
            <w:tcW w:w="5976" w:type="dxa"/>
            <w:tcBorders/>
          </w:tcPr>
          <w:p>
            <w:pPr>
              <w:pStyle w:val="TableContents"/>
              <w:bidi w:val="0"/>
              <w:spacing w:before="0" w:after="0"/>
              <w:jc w:val="left"/>
              <w:rPr>
                <w:rFonts w:ascii="arial" w:hAnsi="arial"/>
                <w:sz w:val="20"/>
              </w:rPr>
            </w:pPr>
            <w:r>
              <w:rPr>
                <w:rFonts w:ascii="arial" w:hAnsi="arial"/>
                <w:sz w:val="20"/>
              </w:rPr>
              <w:t>Founders Preferred Stock, $0.0001 par value per share; 1,182,000 shares authorized, 488,831 shares issued and outstanding, actual; no shares authorized, issued and outstanding, pro forma and pro forma as adjusted</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Class A Common stock, $0.0001 par value per share; 22,458,000 shares authorized, 9,287,825 shares issued and outstanding, actual; no shares authorized, issued and outstanding, pro forma and pro forma as adjusted</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5976" w:type="dxa"/>
            <w:tcBorders/>
          </w:tcPr>
          <w:p>
            <w:pPr>
              <w:pStyle w:val="TableContents"/>
              <w:bidi w:val="0"/>
              <w:spacing w:before="0" w:after="0"/>
              <w:jc w:val="left"/>
              <w:rPr>
                <w:rFonts w:ascii="arial" w:hAnsi="arial"/>
                <w:sz w:val="20"/>
              </w:rPr>
            </w:pPr>
            <w:r>
              <w:rPr>
                <w:rFonts w:ascii="arial" w:hAnsi="arial"/>
                <w:sz w:val="20"/>
              </w:rPr>
              <w:t>Class B Common stock, $0.0001 par value per share; 145,887,259 shares authorized, 2,759,760 shares issued and outstanding, issued and outstanding, pro forma and pro forma as adjusted</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capital(1)</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9,892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301,631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473,143</w:t>
            </w:r>
          </w:p>
        </w:tc>
        <w:tc>
          <w:tcPr>
            <w:tcW w:w="161" w:type="dxa"/>
            <w:tcBorders/>
            <w:shd w:fill="CCEEFF" w:val="clear"/>
            <w:vAlign w:val="bottom"/>
          </w:tcPr>
          <w:p>
            <w:pPr>
              <w:pStyle w:val="TableContents"/>
              <w:bidi w:val="0"/>
              <w:spacing w:before="0" w:after="283"/>
              <w:jc w:val="left"/>
              <w:rPr/>
            </w:pPr>
            <w:r>
              <w:rPr/>
              <w:t> </w:t>
            </w:r>
          </w:p>
        </w:tc>
      </w:tr>
      <w:tr>
        <w:trPr/>
        <w:tc>
          <w:tcPr>
            <w:tcW w:w="5976" w:type="dxa"/>
            <w:tcBorders/>
          </w:tcPr>
          <w:p>
            <w:pPr>
              <w:pStyle w:val="TableContents"/>
              <w:bidi w:val="0"/>
              <w:spacing w:before="0" w:after="0"/>
              <w:jc w:val="left"/>
              <w:rPr>
                <w:rFonts w:ascii="arial" w:hAnsi="arial"/>
                <w:sz w:val="20"/>
              </w:rPr>
            </w:pPr>
            <w:r>
              <w:rPr>
                <w:rFonts w:ascii="arial" w:hAnsi="arial"/>
                <w:sz w:val="20"/>
              </w:rPr>
              <w:t>Accumulated other comprehensive loss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(72</w:t>
            </w:r>
          </w:p>
        </w:tc>
        <w:tc>
          <w:tcPr>
            <w:tcW w:w="161" w:type="dxa"/>
            <w:tcBorders/>
            <w:vAlign w:val="bottom"/>
          </w:tcPr>
          <w:p>
            <w:pPr>
              <w:pStyle w:val="TableContents"/>
              <w:bidi w:val="0"/>
              <w:spacing w:before="0" w:after="283"/>
              <w:jc w:val="left"/>
              <w:rPr/>
            </w:pPr>
            <w:r>
              <w:rPr/>
              <w:t>) </w:t>
            </w:r>
          </w:p>
        </w:tc>
      </w:tr>
      <w:tr>
        <w:trPr/>
        <w:tc>
          <w:tcPr>
            <w:tcW w:w="5976" w:type="dxa"/>
            <w:tcBorders/>
            <w:shd w:fill="CCEEFF" w:val="clear"/>
          </w:tcPr>
          <w:p>
            <w:pPr>
              <w:pStyle w:val="TableContents"/>
              <w:bidi w:val="0"/>
              <w:spacing w:before="0" w:after="0"/>
              <w:jc w:val="left"/>
              <w:rPr>
                <w:rFonts w:ascii="arial" w:hAnsi="arial"/>
                <w:sz w:val="20"/>
              </w:rPr>
            </w:pPr>
            <w:r>
              <w:rPr>
                <w:rFonts w:ascii="arial" w:hAnsi="arial"/>
                <w:sz w:val="20"/>
              </w:rPr>
              <w:t>Accumulated deficit(1)</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(168,775</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(169,136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(169,136</w:t>
            </w:r>
          </w:p>
        </w:tc>
        <w:tc>
          <w:tcPr>
            <w:tcW w:w="161" w:type="dxa"/>
            <w:tcBorders/>
            <w:shd w:fill="CCEEFF" w:val="clear"/>
            <w:vAlign w:val="bottom"/>
          </w:tcPr>
          <w:p>
            <w:pPr>
              <w:pStyle w:val="TableContents"/>
              <w:bidi w:val="0"/>
              <w:spacing w:before="0" w:after="283"/>
              <w:jc w:val="left"/>
              <w:rPr/>
            </w:pPr>
            <w:r>
              <w:rPr/>
              <w:t>) </w:t>
            </w:r>
          </w:p>
        </w:tc>
      </w:tr>
      <w:tr>
        <w:trPr/>
        <w:tc>
          <w:tcPr>
            <w:tcW w:w="597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758"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76" w:type="dxa"/>
            <w:tcBorders/>
          </w:tcPr>
          <w:p>
            <w:pPr>
              <w:pStyle w:val="TableContents"/>
              <w:bidi w:val="0"/>
              <w:spacing w:before="0" w:after="0"/>
              <w:jc w:val="left"/>
              <w:rPr>
                <w:rFonts w:ascii="arial" w:hAnsi="arial"/>
                <w:sz w:val="20"/>
              </w:rPr>
            </w:pPr>
            <w:r>
              <w:rPr>
                <w:rFonts w:ascii="arial" w:hAnsi="arial"/>
                <w:sz w:val="20"/>
              </w:rPr>
              <w:t>Total stockholders’ (deficit) equity</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(158,954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132,428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303,941</w:t>
            </w:r>
          </w:p>
        </w:tc>
        <w:tc>
          <w:tcPr>
            <w:tcW w:w="161" w:type="dxa"/>
            <w:tcBorders/>
            <w:vAlign w:val="bottom"/>
          </w:tcPr>
          <w:p>
            <w:pPr>
              <w:pStyle w:val="TableContents"/>
              <w:bidi w:val="0"/>
              <w:spacing w:before="0" w:after="283"/>
              <w:jc w:val="left"/>
              <w:rPr/>
            </w:pPr>
            <w:r>
              <w:rPr/>
              <w:t> </w:t>
            </w:r>
          </w:p>
        </w:tc>
      </w:tr>
      <w:tr>
        <w:trPr/>
        <w:tc>
          <w:tcPr>
            <w:tcW w:w="5976"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758" w:type="dxa"/>
            <w:gridSpan w:val="9"/>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76"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Total capitalization</w:t>
            </w:r>
          </w:p>
        </w:tc>
        <w:tc>
          <w:tcPr>
            <w:tcW w:w="17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81" w:type="dxa"/>
            <w:tcBorders>
              <w:bottom w:val="single" w:sz="2" w:space="0" w:color="000000"/>
            </w:tcBorders>
            <w:shd w:fill="CCEEFF" w:val="clear"/>
            <w:tcMar>
              <w:bottom w:w="28" w:type="dxa"/>
            </w:tcMar>
            <w:vAlign w:val="bottom"/>
          </w:tcPr>
          <w:p>
            <w:pPr>
              <w:pStyle w:val="TableContents"/>
              <w:bidi w:val="0"/>
              <w:spacing w:before="0" w:after="283"/>
              <w:jc w:val="right"/>
              <w:rPr/>
            </w:pPr>
            <w:r>
              <w:rPr/>
              <w:t>86,099</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923" w:type="dxa"/>
            <w:tcBorders>
              <w:bottom w:val="single" w:sz="2" w:space="0" w:color="000000"/>
            </w:tcBorders>
            <w:shd w:fill="CCEEFF" w:val="clear"/>
            <w:tcMar>
              <w:bottom w:w="28" w:type="dxa"/>
            </w:tcMar>
            <w:vAlign w:val="bottom"/>
          </w:tcPr>
          <w:p>
            <w:pPr>
              <w:pStyle w:val="TableContents"/>
              <w:bidi w:val="0"/>
              <w:spacing w:before="0" w:after="283"/>
              <w:jc w:val="right"/>
              <w:rPr/>
            </w:pPr>
            <w:r>
              <w:rPr/>
              <w:t>142,238</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92" w:type="dxa"/>
            <w:tcBorders>
              <w:bottom w:val="single" w:sz="2" w:space="0" w:color="000000"/>
            </w:tcBorders>
            <w:shd w:fill="CCEEFF" w:val="clear"/>
            <w:tcMar>
              <w:bottom w:w="28" w:type="dxa"/>
            </w:tcMar>
            <w:vAlign w:val="bottom"/>
          </w:tcPr>
          <w:p>
            <w:pPr>
              <w:pStyle w:val="TableContents"/>
              <w:bidi w:val="0"/>
              <w:spacing w:before="0" w:after="283"/>
              <w:jc w:val="right"/>
              <w:rPr/>
            </w:pPr>
            <w:r>
              <w:rPr/>
              <w:t>313,751</w:t>
            </w:r>
          </w:p>
        </w:tc>
        <w:tc>
          <w:tcPr>
            <w:tcW w:w="16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(1)</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The Convertible Notes are accounted for under the fair value option and issuance costs were expensed upon closing. The Convertible Notes will be remeasured to fair value prior to the Convertible Notes Conversion. The pro forma presentation excludes any loss from remeasurement of the Convertible Notes to fair value.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number of shares of our common stock to be outstanding, pro forma and pro forma as adjusted, in the table above is based on 55,271,425 shares of our common stock (which include 70,506 shares of our common stock subject to repurchase or vesting as of such date) outstanding as of December 31, 2025, after giving effect to the Preferred Stock Conversion, the Founders Preferred Stock Conversion, the Class A Conversion, the Common Stock Redesignation and the Convertible Notes Conversion, as if each had occurred as of December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5,842,551 shares of our Class B common stock (to be redesignated as common stock in the Common Stock Redesignation) issuable upon the exercise of outstanding stock options issued under the 2018 Plan as of December 31, 2025, with a weighted-average exercise price of $3.18 per share (to be redesignated as common stock in the Common Stock Redesignation);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1,769,592 shares of our Class B common stock (to be redesignated as common stock in the Common Stock Redesignation) issuable upon the exercise of outstanding stock options granted under the 2018 Plan subsequent to December 31, 2025, with a weighted-average exercise price of $8.26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112,847 shares of our Class B common stock (to be redesignated as common stock in the Common Stock Redesignation) issuable upon the exercise of warrants, outstanding as of December 31, 2025, with a weighted-average exercise price of $3.55 per share, to purchase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31,251 shares of our common stock issuable upon the exercise of a warrant to purchase shares of our Series C convertible preferred stock, outstanding as of December 31, 2025 (the “Series C Warrant”), which will automatically convert into a warrant to purchase 31,251 shares of our common stock with an exercise price of $7.20 upon the closing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20,253 shares of our Class B common stock (to be redesignated as common stock in the Common Stock Redesignation) issuable upon the conversion of phantom shares, which are issuable upon the exercise of outstanding phantom options granted under the Phantom Plan as of December 31, 2025, with a weighted-average exercise price of $4.32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10,102 shares of our Class B common stock (to be redesignated as common stock in the Common Stock Redesignation) issuable upon the conversion of phantom shares, which are issuable upon the exercise of outstanding phantom options granted under the Phantom Plan subsequent to December 31, 2025, with a weighted-average exercise price of $9.00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14,079,974 shares of our common stock reserved for future issuance under the 2026 Plan, which became effective upon the execution and delivery of the underwriting agreement for this offering, which shares include 7,220,000 new shares plus the number of shares (not to exceed 6,859,974 shares) (i) that remain available for the issuance of awards under the 2018 Plan at the time the 2026 Plan became effective and (ii) any shares underlying outstanding stock awards granted under the 2018 Plan that, on or after the date that the 2026 Plan became effective, terminate or expire or are repurchased, forfeited, cancelled or withheld, as more fully described in the section titled “Executive and director compensation—Equity incentive plans”, as well as any automatic increases in the number of shares of our common stock reserved for future issuance under the 2026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1,396,974 shares of our common stock issuable upon the exercise of stock options to be granted to certain of our directors and officers on the date hereof under the 2026 Plan at an exercise price equal to the initial public offering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314,611 shares of our common stock issuable upon the vesting and settlement of RSUs to be granted to certain of our directors and officers following the closing of this offering upon our filing of a registration statement on Form S-8;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656,400 shares of our common stock reserved for future issuance under the ESPP, as well as any annual automatic increases in the number of shares of our common stock reserved for future issuance under the ESPP, which became effective upon the execution and delivery of the underwriting agreement for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3" w:name="toc39680_8"/>
      <w:bookmarkEnd w:id="13"/>
      <w:r>
        <w:rPr>
          <w:rFonts w:ascii="arial" w:hAnsi="arial"/>
          <w:b/>
          <w:sz w:val="32"/>
        </w:rPr>
        <w:t xml:space="preserve">Dilution </w:t>
      </w:r>
    </w:p>
    <w:p>
      <w:pPr>
        <w:pStyle w:val="TextBody"/>
        <w:bidi w:val="0"/>
        <w:spacing w:before="160" w:after="0"/>
        <w:jc w:val="left"/>
        <w:rPr>
          <w:rFonts w:ascii="arial" w:hAnsi="arial"/>
          <w:sz w:val="20"/>
        </w:rPr>
      </w:pPr>
      <w:r>
        <w:rPr>
          <w:rFonts w:ascii="arial" w:hAnsi="arial"/>
          <w:sz w:val="20"/>
        </w:rPr>
        <w:t xml:space="preserve">If you invest in our common stock in this offering, your ownership interest will be immediately diluted to the extent of the difference between the initial public offering price per share and the pro forma as adjusted net tangible book value per share of our common stock immediately after the closing of this offering. </w:t>
      </w:r>
    </w:p>
    <w:p>
      <w:pPr>
        <w:pStyle w:val="TextBody"/>
        <w:bidi w:val="0"/>
        <w:spacing w:before="160" w:after="0"/>
        <w:jc w:val="left"/>
        <w:rPr>
          <w:rFonts w:ascii="arial" w:hAnsi="arial"/>
          <w:sz w:val="20"/>
        </w:rPr>
      </w:pPr>
      <w:r>
        <w:rPr>
          <w:rFonts w:ascii="arial" w:hAnsi="arial"/>
          <w:sz w:val="20"/>
        </w:rPr>
        <w:t xml:space="preserve">As of December 31, 2025, we had a historical net tangible book value (deficit) of approximately $(160.2) million, or $(13.30) per share of common stock based on 12,047,585 shares of Class A and Class B common stock (which include 70,506 shares of our Class B common stock subject to repurchase or vesting as of such date) outstanding as of such date. Our historical net tangible book value (deficit) per share represents the amount of our total tangible assets less our total liabilities and convertible preferred stock, divided by the number of shares of our Class A and Class B common stock outstanding as of December 31, 2025. </w:t>
      </w:r>
    </w:p>
    <w:p>
      <w:pPr>
        <w:pStyle w:val="TextBody"/>
        <w:bidi w:val="0"/>
        <w:spacing w:before="160" w:after="0"/>
        <w:jc w:val="left"/>
        <w:rPr>
          <w:rFonts w:ascii="arial" w:hAnsi="arial"/>
          <w:sz w:val="20"/>
        </w:rPr>
      </w:pPr>
      <w:r>
        <w:rPr>
          <w:rFonts w:ascii="arial" w:hAnsi="arial"/>
          <w:sz w:val="20"/>
        </w:rPr>
        <w:t xml:space="preserve">After giving effect to (i) the issuance of the Convertible Notes in January 2026 for aggregate net proceeds of approximately $56.2 million, (ii) the Preferred Stock Conversion (and the related reclassification of the carrying value of our convertible preferred stock to permanent equity in connection with the closing of this offering), the Founders Preferred Stock Conversion, the Class A Conversion, the Common Stock Redesignation and the Convertible Notes Conversion, as if each had occurred as of December 31, 2025, (iii) the Series C Warrant Conversion (and the related reclassification of warrant liability to stockholders’ equity), and (iv) the filing and effectiveness of our amended and restated certificate of incorporation, each of which will occur immediately prior to the closing of this offering, our pro forma net tangible book value as of December 31, 2025 would have been approximately $131.1 million, or approximately $2.37 per share of our common stock. </w:t>
      </w:r>
    </w:p>
    <w:p>
      <w:pPr>
        <w:pStyle w:val="TextBody"/>
        <w:bidi w:val="0"/>
        <w:spacing w:before="160" w:after="0"/>
        <w:jc w:val="left"/>
        <w:rPr>
          <w:rFonts w:ascii="arial" w:hAnsi="arial"/>
          <w:sz w:val="20"/>
        </w:rPr>
      </w:pPr>
      <w:r>
        <w:rPr>
          <w:rFonts w:ascii="arial" w:hAnsi="arial"/>
          <w:sz w:val="20"/>
        </w:rPr>
        <w:t xml:space="preserve">Net tangible book value dilution per share to new investors represents the difference between the amount per share paid by purchasers of shares of common stock in this offering and the pro forma as adjusted net tangible book value per share of common stock immediately after closing of this offering. After giving further effect to the sale of 11,250,000 shares of our common stock that we are offering at the initial public offering price of $17.00 per share and after deducting the underwriting discounts and commissions and estimated offering expenses payable by us, our pro forma as adjusted net tangible book value as of December 31, 2025 would have been $303.9 million, or approximately $4.57 per share. This amount represents an immediate increase in pro forma as adjusted net tangible book value of $2.20 per share to our existing stockholders and an immediate dilution in pro forma as adjusted net tangible book value of approximately $12.43 per share to new investors purchasing shares of common stock in this offering. </w:t>
      </w:r>
    </w:p>
    <w:p>
      <w:pPr>
        <w:pStyle w:val="TextBody"/>
        <w:bidi w:val="0"/>
        <w:spacing w:before="160" w:after="0"/>
        <w:jc w:val="left"/>
        <w:rPr>
          <w:rFonts w:ascii="arial" w:hAnsi="arial"/>
          <w:sz w:val="20"/>
        </w:rPr>
      </w:pPr>
      <w:r>
        <w:rPr>
          <w:rFonts w:ascii="arial" w:hAnsi="arial"/>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9"/>
        <w:gridCol w:w="324"/>
        <w:gridCol w:w="140"/>
        <w:gridCol w:w="697"/>
        <w:gridCol w:w="172"/>
        <w:gridCol w:w="290"/>
        <w:gridCol w:w="140"/>
        <w:gridCol w:w="569"/>
        <w:gridCol w:w="64"/>
      </w:tblGrid>
      <w:tr>
        <w:trPr/>
        <w:tc>
          <w:tcPr>
            <w:tcW w:w="7809"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809" w:type="dxa"/>
            <w:tcBorders>
              <w:top w:val="single" w:sz="16" w:space="0" w:color="000000"/>
            </w:tcBorders>
            <w:shd w:fill="CCEEFF" w:val="clear"/>
            <w:tcMar>
              <w:top w:w="28" w:type="dxa"/>
            </w:tcMar>
          </w:tcPr>
          <w:p>
            <w:pPr>
              <w:pStyle w:val="TableContents"/>
              <w:bidi w:val="0"/>
              <w:spacing w:before="0" w:after="0"/>
              <w:jc w:val="left"/>
              <w:rPr>
                <w:rFonts w:ascii="arial" w:hAnsi="arial"/>
                <w:sz w:val="20"/>
              </w:rPr>
            </w:pPr>
            <w:r>
              <w:rPr>
                <w:rFonts w:ascii="arial" w:hAnsi="arial"/>
                <w:sz w:val="20"/>
              </w:rPr>
              <w:t>Initial public offering price per share</w:t>
            </w:r>
          </w:p>
        </w:tc>
        <w:tc>
          <w:tcPr>
            <w:tcW w:w="324"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697"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72"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29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w:t>
            </w:r>
          </w:p>
        </w:tc>
        <w:tc>
          <w:tcPr>
            <w:tcW w:w="569" w:type="dxa"/>
            <w:tcBorders>
              <w:top w:val="single" w:sz="16" w:space="0" w:color="000000"/>
            </w:tcBorders>
            <w:shd w:fill="CCEEFF" w:val="clear"/>
            <w:tcMar>
              <w:top w:w="28" w:type="dxa"/>
            </w:tcMar>
            <w:vAlign w:val="bottom"/>
          </w:tcPr>
          <w:p>
            <w:pPr>
              <w:pStyle w:val="TableContents"/>
              <w:bidi w:val="0"/>
              <w:spacing w:before="0" w:after="283"/>
              <w:jc w:val="right"/>
              <w:rPr/>
            </w:pPr>
            <w:r>
              <w:rPr/>
              <w:t>17.00</w:t>
            </w:r>
          </w:p>
        </w:tc>
        <w:tc>
          <w:tcPr>
            <w:tcW w:w="64" w:type="dxa"/>
            <w:tcBorders>
              <w:top w:val="single" w:sz="16" w:space="0" w:color="000000"/>
            </w:tcBorders>
            <w:shd w:fill="CCEEFF" w:val="clear"/>
            <w:tcMar>
              <w:top w:w="28" w:type="dxa"/>
            </w:tcMar>
            <w:vAlign w:val="bottom"/>
          </w:tcPr>
          <w:p>
            <w:pPr>
              <w:pStyle w:val="TableContents"/>
              <w:bidi w:val="0"/>
              <w:spacing w:before="0" w:after="283"/>
              <w:jc w:val="left"/>
              <w:rPr>
                <w:sz w:val="4"/>
                <w:szCs w:val="4"/>
              </w:rPr>
            </w:pPr>
            <w:r>
              <w:rPr>
                <w:sz w:val="4"/>
                <w:szCs w:val="4"/>
              </w:rPr>
            </w:r>
          </w:p>
        </w:tc>
      </w:tr>
      <w:tr>
        <w:trPr/>
        <w:tc>
          <w:tcPr>
            <w:tcW w:w="7809" w:type="dxa"/>
            <w:tcBorders/>
          </w:tcPr>
          <w:p>
            <w:pPr>
              <w:pStyle w:val="TableContents"/>
              <w:bidi w:val="0"/>
              <w:spacing w:before="0" w:after="0"/>
              <w:jc w:val="left"/>
              <w:rPr>
                <w:rFonts w:ascii="arial" w:hAnsi="arial"/>
                <w:sz w:val="20"/>
              </w:rPr>
            </w:pPr>
            <w:r>
              <w:rPr>
                <w:rFonts w:ascii="arial" w:hAnsi="arial"/>
                <w:sz w:val="20"/>
              </w:rPr>
              <w:t>Historical net tangible book value (deficit) per share as of December 31, 2025</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(13.30</w:t>
            </w:r>
          </w:p>
        </w:tc>
        <w:tc>
          <w:tcPr>
            <w:tcW w:w="17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09" w:type="dxa"/>
            <w:tcBorders/>
            <w:shd w:fill="CCEEFF" w:val="clear"/>
          </w:tcPr>
          <w:p>
            <w:pPr>
              <w:pStyle w:val="TableContents"/>
              <w:bidi w:val="0"/>
              <w:spacing w:before="0" w:after="0"/>
              <w:jc w:val="left"/>
              <w:rPr>
                <w:rFonts w:ascii="arial" w:hAnsi="arial"/>
                <w:sz w:val="20"/>
              </w:rPr>
            </w:pPr>
            <w:r>
              <w:rPr>
                <w:rFonts w:ascii="arial" w:hAnsi="arial"/>
                <w:sz w:val="20"/>
              </w:rPr>
              <w:t>Pro forma increase in historical net tangible book value per share as of December 31, 2025</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15.67</w:t>
            </w:r>
          </w:p>
        </w:tc>
        <w:tc>
          <w:tcPr>
            <w:tcW w:w="17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809"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09" w:type="dxa"/>
            <w:tcBorders/>
          </w:tcPr>
          <w:p>
            <w:pPr>
              <w:pStyle w:val="TableContents"/>
              <w:bidi w:val="0"/>
              <w:spacing w:before="0" w:after="0"/>
              <w:jc w:val="left"/>
              <w:rPr>
                <w:rFonts w:ascii="arial" w:hAnsi="arial"/>
                <w:sz w:val="20"/>
              </w:rPr>
            </w:pPr>
            <w:r>
              <w:rPr>
                <w:rFonts w:ascii="arial" w:hAnsi="arial"/>
                <w:sz w:val="20"/>
              </w:rPr>
              <w:t>Pro forma net tangible book value per share as of December 31, 2025, before this offering</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2.37</w:t>
            </w:r>
          </w:p>
        </w:tc>
        <w:tc>
          <w:tcPr>
            <w:tcW w:w="17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09" w:type="dxa"/>
            <w:tcBorders/>
            <w:shd w:fill="CCEEFF" w:val="clear"/>
          </w:tcPr>
          <w:p>
            <w:pPr>
              <w:pStyle w:val="TableContents"/>
              <w:bidi w:val="0"/>
              <w:spacing w:before="0" w:after="0"/>
              <w:jc w:val="left"/>
              <w:rPr>
                <w:rFonts w:ascii="arial" w:hAnsi="arial"/>
                <w:sz w:val="20"/>
              </w:rPr>
            </w:pPr>
            <w:r>
              <w:rPr>
                <w:rFonts w:ascii="arial" w:hAnsi="arial"/>
                <w:sz w:val="20"/>
              </w:rPr>
              <w:t>Increase in pro forma net tangible book value per share attributed to investors purchasing shares of common stock in this offering</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2.20</w:t>
            </w:r>
          </w:p>
        </w:tc>
        <w:tc>
          <w:tcPr>
            <w:tcW w:w="172"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809"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09" w:type="dxa"/>
            <w:tcBorders/>
          </w:tcPr>
          <w:p>
            <w:pPr>
              <w:pStyle w:val="TableContents"/>
              <w:bidi w:val="0"/>
              <w:spacing w:before="0" w:after="0"/>
              <w:jc w:val="left"/>
              <w:rPr>
                <w:rFonts w:ascii="arial" w:hAnsi="arial"/>
                <w:sz w:val="20"/>
              </w:rPr>
            </w:pPr>
            <w:r>
              <w:rPr>
                <w:rFonts w:ascii="arial" w:hAnsi="arial"/>
                <w:sz w:val="20"/>
              </w:rPr>
              <w:t>Pro forma as adjusted net tangible book value per share after this offering</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4.57</w:t>
            </w:r>
          </w:p>
        </w:tc>
        <w:tc>
          <w:tcPr>
            <w:tcW w:w="64" w:type="dxa"/>
            <w:tcBorders/>
            <w:vAlign w:val="bottom"/>
          </w:tcPr>
          <w:p>
            <w:pPr>
              <w:pStyle w:val="TableContents"/>
              <w:bidi w:val="0"/>
              <w:spacing w:before="0" w:after="283"/>
              <w:jc w:val="left"/>
              <w:rPr/>
            </w:pPr>
            <w:r>
              <w:rPr/>
              <w:t> </w:t>
            </w:r>
          </w:p>
        </w:tc>
      </w:tr>
      <w:tr>
        <w:trPr/>
        <w:tc>
          <w:tcPr>
            <w:tcW w:w="7809"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809"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Dilution per share to investors in this offering</w:t>
            </w:r>
          </w:p>
        </w:tc>
        <w:tc>
          <w:tcPr>
            <w:tcW w:w="32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569" w:type="dxa"/>
            <w:tcBorders>
              <w:bottom w:val="single" w:sz="2" w:space="0" w:color="000000"/>
            </w:tcBorders>
            <w:shd w:fill="CCEEFF" w:val="clear"/>
            <w:tcMar>
              <w:bottom w:w="28" w:type="dxa"/>
            </w:tcMar>
            <w:vAlign w:val="bottom"/>
          </w:tcPr>
          <w:p>
            <w:pPr>
              <w:pStyle w:val="TableContents"/>
              <w:bidi w:val="0"/>
              <w:spacing w:before="0" w:after="283"/>
              <w:jc w:val="right"/>
              <w:rPr/>
            </w:pPr>
            <w:r>
              <w:rPr/>
              <w:t>12.43</w:t>
            </w:r>
          </w:p>
        </w:tc>
        <w:tc>
          <w:tcPr>
            <w:tcW w:w="6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the underwriters exercise their option to purchase up to 1,687,500 additional shares of our common stock in full in this offering, the pro forma as adjusted net tangible book value after the offering would be $4.85 per share, the increase in pro forma as adjusted net tangible book value per share to existing stockholders would be $2.47 per share and the dilution per share to new investors would be $12.15 per share, in each case based on the initial public offering price of $17.00 per share. </w:t>
      </w:r>
    </w:p>
    <w:p>
      <w:pPr>
        <w:pStyle w:val="TextBody"/>
        <w:bidi w:val="0"/>
        <w:spacing w:before="160" w:after="0"/>
        <w:jc w:val="left"/>
        <w:rPr>
          <w:rFonts w:ascii="arial" w:hAnsi="arial"/>
          <w:sz w:val="20"/>
        </w:rPr>
      </w:pPr>
      <w:r>
        <w:rPr>
          <w:rFonts w:ascii="arial" w:hAnsi="arial"/>
          <w:sz w:val="20"/>
        </w:rPr>
        <w:t xml:space="preserve">To the extent that outstanding options with an exercise price per share that is less than the pro forma as adjusted net tangible book value per share are exercised, or outstanding warrants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 </w:t>
      </w:r>
    </w:p>
    <w:p>
      <w:pPr>
        <w:pStyle w:val="TextBody"/>
        <w:bidi w:val="0"/>
        <w:spacing w:before="160" w:after="0"/>
        <w:jc w:val="left"/>
        <w:rPr>
          <w:rFonts w:ascii="arial" w:hAnsi="arial"/>
          <w:sz w:val="20"/>
        </w:rPr>
      </w:pPr>
      <w:r>
        <w:rPr>
          <w:rFonts w:ascii="arial" w:hAnsi="arial"/>
          <w:sz w:val="20"/>
        </w:rPr>
        <w:t xml:space="preserve">The following table summarizes, on the pro forma as adjusted basis described above, as of December 31, 2025, the differences between the number of shares of common stock purchased from us by our existing stockholders and common stock by new investors purchasing shares in this offering, the total consideration paid to us in cash and the weighted-average price per share paid by existing stockholders for shares of common stock issued prior to this offering and the price to be paid by new investors for shares of common stock in this offering. The calculation below is based on the initial public offering price of $17.00 per share, before deducting the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6"/>
        <w:gridCol w:w="186"/>
        <w:gridCol w:w="60"/>
        <w:gridCol w:w="1145"/>
        <w:gridCol w:w="60"/>
        <w:gridCol w:w="186"/>
        <w:gridCol w:w="60"/>
        <w:gridCol w:w="749"/>
        <w:gridCol w:w="60"/>
        <w:gridCol w:w="186"/>
        <w:gridCol w:w="144"/>
        <w:gridCol w:w="1223"/>
        <w:gridCol w:w="60"/>
        <w:gridCol w:w="185"/>
        <w:gridCol w:w="60"/>
        <w:gridCol w:w="804"/>
        <w:gridCol w:w="60"/>
        <w:gridCol w:w="186"/>
        <w:gridCol w:w="287"/>
        <w:gridCol w:w="1151"/>
        <w:gridCol w:w="67"/>
      </w:tblGrid>
      <w:tr>
        <w:trPr/>
        <w:tc>
          <w:tcPr>
            <w:tcW w:w="3286"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286" w:type="dxa"/>
            <w:tcBorders>
              <w:top w:val="single" w:sz="16" w:space="0" w:color="000000"/>
            </w:tcBorders>
            <w:tcMar>
              <w:top w:w="28" w:type="dxa"/>
            </w:tcMar>
            <w:vAlign w:val="center"/>
          </w:tcPr>
          <w:p>
            <w:pPr>
              <w:pStyle w:val="TableContents"/>
              <w:bidi w:val="0"/>
              <w:spacing w:before="0" w:after="283"/>
              <w:jc w:val="left"/>
              <w:rPr/>
            </w:pPr>
            <w:r>
              <w:rPr/>
              <w:t> </w:t>
            </w:r>
          </w:p>
        </w:tc>
        <w:tc>
          <w:tcPr>
            <w:tcW w:w="2506"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722"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69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2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260" w:type="dxa"/>
            <w:gridSpan w:val="6"/>
            <w:tcBorders>
              <w:bottom w:val="single" w:sz="2" w:space="0" w:color="000000"/>
            </w:tcBorders>
            <w:tcMar>
              <w:bottom w:w="28" w:type="dxa"/>
            </w:tcMar>
            <w:vAlign w:val="bottom"/>
          </w:tcPr>
          <w:p>
            <w:pPr>
              <w:pStyle w:val="TableContents"/>
              <w:bidi w:val="0"/>
              <w:spacing w:before="0" w:after="283"/>
              <w:jc w:val="right"/>
              <w:rPr>
                <w:b/>
              </w:rPr>
            </w:pPr>
            <w:r>
              <w:rPr>
                <w:b/>
              </w:rPr>
              <w:t>Shares purchased</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76" w:type="dxa"/>
            <w:gridSpan w:val="6"/>
            <w:tcBorders>
              <w:bottom w:val="single" w:sz="2" w:space="0" w:color="000000"/>
            </w:tcBorders>
            <w:tcMar>
              <w:bottom w:w="28" w:type="dxa"/>
            </w:tcMar>
            <w:vAlign w:val="bottom"/>
          </w:tcPr>
          <w:p>
            <w:pPr>
              <w:pStyle w:val="TableContents"/>
              <w:bidi w:val="0"/>
              <w:spacing w:before="0" w:after="283"/>
              <w:jc w:val="right"/>
              <w:rPr>
                <w:b/>
              </w:rPr>
            </w:pPr>
            <w:r>
              <w:rPr>
                <w:b/>
              </w:rPr>
              <w:t>Total consideration</w:t>
            </w:r>
          </w:p>
        </w:tc>
        <w:tc>
          <w:tcPr>
            <w:tcW w:w="60" w:type="dxa"/>
            <w:tcBorders/>
            <w:vAlign w:val="bottom"/>
          </w:tcPr>
          <w:p>
            <w:pPr>
              <w:pStyle w:val="TableContents"/>
              <w:bidi w:val="0"/>
              <w:spacing w:before="0" w:after="283"/>
              <w:jc w:val="left"/>
              <w:rPr/>
            </w:pPr>
            <w:r>
              <w:rPr/>
              <w:t> </w:t>
            </w:r>
          </w:p>
        </w:tc>
        <w:tc>
          <w:tcPr>
            <w:tcW w:w="186"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438"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Weighted-</w:t>
              <w:br/>
              <w:t>average price</w:t>
              <w:br/>
              <w:t>per share</w:t>
            </w:r>
          </w:p>
        </w:tc>
        <w:tc>
          <w:tcPr>
            <w:tcW w:w="6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286" w:type="dxa"/>
            <w:tcBorders>
              <w:bottom w:val="single" w:sz="2" w:space="0" w:color="000000"/>
            </w:tcBorders>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tcMar>
              <w:bottom w:w="28" w:type="dxa"/>
            </w:tcMar>
            <w:vAlign w:val="bottom"/>
          </w:tcPr>
          <w:p>
            <w:pPr>
              <w:pStyle w:val="TableContents"/>
              <w:bidi w:val="0"/>
              <w:spacing w:before="0" w:after="283"/>
              <w:jc w:val="left"/>
              <w:rPr/>
            </w:pPr>
            <w:r>
              <w:rPr/>
              <w:t>  </w:t>
            </w:r>
          </w:p>
        </w:tc>
        <w:tc>
          <w:tcPr>
            <w:tcW w:w="1205"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tcMar>
              <w:bottom w:w="28" w:type="dxa"/>
            </w:tcMar>
            <w:vAlign w:val="bottom"/>
          </w:tcPr>
          <w:p>
            <w:pPr>
              <w:pStyle w:val="TableContents"/>
              <w:bidi w:val="0"/>
              <w:spacing w:before="0" w:after="283"/>
              <w:jc w:val="left"/>
              <w:rPr/>
            </w:pPr>
            <w:r>
              <w:rPr/>
              <w:t>  </w:t>
            </w:r>
          </w:p>
        </w:tc>
        <w:tc>
          <w:tcPr>
            <w:tcW w:w="809"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tcMar>
              <w:bottom w:w="28" w:type="dxa"/>
            </w:tcMar>
            <w:vAlign w:val="bottom"/>
          </w:tcPr>
          <w:p>
            <w:pPr>
              <w:pStyle w:val="TableContents"/>
              <w:bidi w:val="0"/>
              <w:spacing w:before="0" w:after="283"/>
              <w:jc w:val="left"/>
              <w:rPr/>
            </w:pPr>
            <w:r>
              <w:rPr/>
              <w:t>  </w:t>
            </w:r>
          </w:p>
        </w:tc>
        <w:tc>
          <w:tcPr>
            <w:tcW w:w="13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864"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6" w:type="dxa"/>
            <w:vMerge w:val="continue"/>
            <w:tcBorders>
              <w:bottom w:val="single" w:sz="2" w:space="0" w:color="000000"/>
            </w:tcBorders>
            <w:tcMar>
              <w:bottom w:w="28" w:type="dxa"/>
            </w:tcMar>
            <w:vAlign w:val="bottom"/>
          </w:tcPr>
          <w:p>
            <w:pPr>
              <w:pStyle w:val="Normal"/>
              <w:bidi w:val="0"/>
              <w:jc w:val="left"/>
              <w:rPr/>
            </w:pPr>
            <w:r>
              <w:rPr/>
            </w:r>
          </w:p>
        </w:tc>
        <w:tc>
          <w:tcPr>
            <w:tcW w:w="1438" w:type="dxa"/>
            <w:gridSpan w:val="2"/>
            <w:vMerge w:val="continue"/>
            <w:tcBorders>
              <w:bottom w:val="single" w:sz="2" w:space="0" w:color="000000"/>
            </w:tcBorders>
            <w:tcMar>
              <w:bottom w:w="28" w:type="dxa"/>
            </w:tcMar>
            <w:vAlign w:val="bottom"/>
          </w:tcPr>
          <w:p>
            <w:pPr>
              <w:pStyle w:val="Normal"/>
              <w:bidi w:val="0"/>
              <w:jc w:val="left"/>
              <w:rPr/>
            </w:pPr>
            <w:r>
              <w:rPr/>
            </w:r>
          </w:p>
        </w:tc>
        <w:tc>
          <w:tcPr>
            <w:tcW w:w="67" w:type="dxa"/>
            <w:vMerge w:val="continue"/>
            <w:tcBorders>
              <w:bottom w:val="single" w:sz="2" w:space="0" w:color="000000"/>
            </w:tcBorders>
            <w:tcMar>
              <w:bottom w:w="28" w:type="dxa"/>
            </w:tcMar>
            <w:vAlign w:val="bottom"/>
          </w:tcPr>
          <w:p>
            <w:pPr>
              <w:pStyle w:val="Normal"/>
              <w:bidi w:val="0"/>
              <w:jc w:val="left"/>
              <w:rPr/>
            </w:pPr>
            <w:r>
              <w:rPr/>
            </w:r>
          </w:p>
        </w:tc>
      </w:tr>
      <w:tr>
        <w:trPr/>
        <w:tc>
          <w:tcPr>
            <w:tcW w:w="3286" w:type="dxa"/>
            <w:tcBorders/>
            <w:shd w:fill="CCEEFF" w:val="clear"/>
          </w:tcPr>
          <w:p>
            <w:pPr>
              <w:pStyle w:val="TableContents"/>
              <w:bidi w:val="0"/>
              <w:spacing w:before="0" w:after="0"/>
              <w:jc w:val="left"/>
              <w:rPr>
                <w:rFonts w:ascii="arial" w:hAnsi="arial"/>
                <w:sz w:val="20"/>
              </w:rPr>
            </w:pPr>
            <w:r>
              <w:rPr>
                <w:rFonts w:ascii="arial" w:hAnsi="arial"/>
                <w:sz w:val="20"/>
              </w:rPr>
              <w:t>Existing stockholders</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55,271,425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308,015,000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61.7%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5.57</w:t>
            </w:r>
          </w:p>
        </w:tc>
        <w:tc>
          <w:tcPr>
            <w:tcW w:w="67" w:type="dxa"/>
            <w:tcBorders/>
            <w:shd w:fill="CCEEFF" w:val="clear"/>
            <w:vAlign w:val="bottom"/>
          </w:tcPr>
          <w:p>
            <w:pPr>
              <w:pStyle w:val="TableContents"/>
              <w:bidi w:val="0"/>
              <w:spacing w:before="0" w:after="283"/>
              <w:jc w:val="left"/>
              <w:rPr/>
            </w:pPr>
            <w:r>
              <w:rPr/>
              <w:t> </w:t>
            </w:r>
          </w:p>
        </w:tc>
      </w:tr>
      <w:tr>
        <w:trPr/>
        <w:tc>
          <w:tcPr>
            <w:tcW w:w="3286" w:type="dxa"/>
            <w:tcBorders/>
          </w:tcPr>
          <w:p>
            <w:pPr>
              <w:pStyle w:val="TableContents"/>
              <w:bidi w:val="0"/>
              <w:spacing w:before="0" w:after="0"/>
              <w:jc w:val="left"/>
              <w:rPr>
                <w:rFonts w:ascii="arial" w:hAnsi="arial"/>
                <w:sz w:val="20"/>
              </w:rPr>
            </w:pPr>
            <w:r>
              <w:rPr>
                <w:rFonts w:ascii="arial" w:hAnsi="arial"/>
                <w:sz w:val="20"/>
              </w:rPr>
              <w:t>New investors</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11,250,000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16.9  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191,250,000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38.3%  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17.00</w:t>
            </w:r>
          </w:p>
        </w:tc>
        <w:tc>
          <w:tcPr>
            <w:tcW w:w="67" w:type="dxa"/>
            <w:tcBorders/>
            <w:vAlign w:val="bottom"/>
          </w:tcPr>
          <w:p>
            <w:pPr>
              <w:pStyle w:val="TableContents"/>
              <w:bidi w:val="0"/>
              <w:spacing w:before="0" w:after="283"/>
              <w:jc w:val="left"/>
              <w:rPr/>
            </w:pPr>
            <w:r>
              <w:rPr/>
              <w:t> </w:t>
            </w:r>
          </w:p>
        </w:tc>
      </w:tr>
      <w:tr>
        <w:trPr/>
        <w:tc>
          <w:tcPr>
            <w:tcW w:w="3286"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286"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Total</w:t>
            </w:r>
          </w:p>
        </w:tc>
        <w:tc>
          <w:tcPr>
            <w:tcW w:w="18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45" w:type="dxa"/>
            <w:tcBorders>
              <w:bottom w:val="single" w:sz="2" w:space="0" w:color="000000"/>
            </w:tcBorders>
            <w:shd w:fill="CCEEFF" w:val="clear"/>
            <w:tcMar>
              <w:bottom w:w="28" w:type="dxa"/>
            </w:tcMar>
            <w:vAlign w:val="bottom"/>
          </w:tcPr>
          <w:p>
            <w:pPr>
              <w:pStyle w:val="TableContents"/>
              <w:bidi w:val="0"/>
              <w:spacing w:before="0" w:after="283"/>
              <w:jc w:val="right"/>
              <w:rPr/>
            </w:pPr>
            <w:r>
              <w:rPr/>
              <w:t>66,521,425</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49" w:type="dxa"/>
            <w:tcBorders>
              <w:bottom w:val="single" w:sz="2" w:space="0" w:color="000000"/>
            </w:tcBorders>
            <w:shd w:fill="CCEEFF" w:val="clear"/>
            <w:tcMar>
              <w:bottom w:w="28" w:type="dxa"/>
            </w:tcMar>
            <w:vAlign w:val="bottom"/>
          </w:tcPr>
          <w:p>
            <w:pPr>
              <w:pStyle w:val="TableContents"/>
              <w:bidi w:val="0"/>
              <w:spacing w:before="0" w:after="283"/>
              <w:jc w:val="right"/>
              <w:rPr/>
            </w:pPr>
            <w:r>
              <w:rPr/>
              <w:t>100.0%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223" w:type="dxa"/>
            <w:tcBorders>
              <w:bottom w:val="single" w:sz="2" w:space="0" w:color="000000"/>
            </w:tcBorders>
            <w:shd w:fill="CCEEFF" w:val="clear"/>
            <w:tcMar>
              <w:bottom w:w="28" w:type="dxa"/>
            </w:tcMar>
            <w:vAlign w:val="bottom"/>
          </w:tcPr>
          <w:p>
            <w:pPr>
              <w:pStyle w:val="TableContents"/>
              <w:bidi w:val="0"/>
              <w:spacing w:before="0" w:after="283"/>
              <w:jc w:val="right"/>
              <w:rPr/>
            </w:pPr>
            <w:r>
              <w:rPr/>
              <w:t>499,265,000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04" w:type="dxa"/>
            <w:tcBorders>
              <w:bottom w:val="single" w:sz="2" w:space="0" w:color="000000"/>
            </w:tcBorders>
            <w:shd w:fill="CCEEFF" w:val="clear"/>
            <w:tcMar>
              <w:bottom w:w="28" w:type="dxa"/>
            </w:tcMar>
            <w:vAlign w:val="bottom"/>
          </w:tcPr>
          <w:p>
            <w:pPr>
              <w:pStyle w:val="TableContents"/>
              <w:bidi w:val="0"/>
              <w:spacing w:before="0" w:after="283"/>
              <w:jc w:val="right"/>
              <w:rPr/>
            </w:pPr>
            <w:r>
              <w:rPr/>
              <w:t>100.0%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5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Except as otherwise indicated, the foregoing discussion and the tables above (other than the historical net tangible book value (deficit)) are based on 55,271,425 shares of our common stock (which include 70,506 shares of our common stock subject to repurchase or vesting as of such date) outstanding as of December 31, 2025, after giving effect to the Preferred Stock Conversion, the Founders Preferred Stock Conversion, the Class A Conversion, the Common Stock Redesignation and the Convertible Notes Conversion, as if each had occurred as of December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5,842,551 shares of our Class B common stock (to be redesignated as common stock in the Common Stock Redesignation) issuable upon the exercise of outstanding stock options issued under the 2018 Plan as of December 31, 2025, with a weighted-average exercise price of $3.18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1,769,592 shares of our Class B common stock (to be redesignated as common stock in the Common Stock Redesignation) issuable upon the exercise of outstanding stock options granted under the 2018 Plan subsequent to December 31, 2025, with a weighted-average exercise price of $8.26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112,847 shares of our Class B common stock issuable upon the exercise of warrants, outstanding as of December 31, 2025, with a weighted-average exercise price of $3.55 per share, to purchase Class B common stock (to be redesignated as common stock in the Common Stock Redesignation);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31,251 shares of our common stock issuable upon the exercise of a warrant to purchase shares of our Series C convertible preferred stock, outstanding as of December 31, 2025 (the “Series C Warrant”), which will automatically convert into a warrant to purchase 31,251 shares of our common stock with an exercise price of $7.20 upon the closing of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20,253 shares of our Class B common stock (to be redesignated as common stock in the Common Stock Redesignation) issuable upon the conversion of phantom shares, which are issuable upon the exercise of outstanding phantom options granted under the Phantom Plan as of December 31, 2025, with a weighted-average exercise price of $4.32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10,102 shares of our Class B common stock (to be redesignated as common stock in the Common Stock Redesignation) issuable upon the conversion of phantom shares, which are issuable upon the exercise of outstanding phantom options granted under the Phantom Plan subsequent to December 31, 2025, with a weighted-average exercise price of $9.00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14,079,974 shares of our common stock reserved for future issuance under the 2026 Plan, which became effective upon the execution and delivery of the underwriting agreement for this offering, which shares include 7,220,000 new shares plus the number of shares (not to exceed 6,859,974 shares) (i) that remain available for the issuance of awards under the 2018 Plan at the time the 2026 Plan became effective and (ii) any shares underlying outstanding stock awards granted under the 2018 Plan that, on or after the date that the 2026 Plan became effective, terminate or expire or are repurchased, forfeited, cancelled or withheld, as more fully described in the section titled “Executive and director compensation—Equity incentive plans”, as well as any automatic increases in the number of shares of our common stock reserved for future issuance under the 2026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1,396,974 shares of our common stock issuable upon the exercise of stock options to be granted to certain of our directors and officers on the date hereof under the 2026 Plan at an exercise price equal to the initial public offering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314,611 shares of our common stock issuable upon the vesting and settlement of RSUs to be granted to certain of our directors and officers following the closing of this offering upon our filing of a registration statement on Form S-8;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656,400 shares of our common stock reserved for future issuance under the ESPP, as well as any annual automatic increases in the number of shares of our common stock reserved for future issuance under the ESPP, which became effective upon the execution and delivery of the underwriting agreement for this offering. </w:t>
            </w:r>
          </w:p>
        </w:tc>
      </w:tr>
    </w:tbl>
    <w:p>
      <w:pPr>
        <w:pStyle w:val="TextBody"/>
        <w:bidi w:val="0"/>
        <w:spacing w:before="160" w:after="0"/>
        <w:jc w:val="left"/>
        <w:rPr>
          <w:rFonts w:ascii="arial" w:hAnsi="arial"/>
          <w:sz w:val="20"/>
        </w:rPr>
      </w:pPr>
      <w:r>
        <w:rPr>
          <w:rFonts w:ascii="arial" w:hAnsi="arial"/>
          <w:sz w:val="20"/>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stock options are exercised, warrants are exercised or we issue additional shares of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Managementsdiscussion and analysisof financial condition andresults of operations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4" w:name="toc39680_9"/>
      <w:bookmarkEnd w:id="14"/>
      <w:r>
        <w:rPr>
          <w:rFonts w:ascii="arial" w:hAnsi="arial"/>
          <w:b/>
          <w:sz w:val="32"/>
        </w:rPr>
        <w:t xml:space="preserve">Management’s discussion and analysis of financial condition and results of operations </w:t>
      </w:r>
    </w:p>
    <w:p>
      <w:pPr>
        <w:pStyle w:val="TextBody"/>
        <w:bidi w:val="0"/>
        <w:spacing w:before="160" w:after="0"/>
        <w:jc w:val="left"/>
        <w:rPr>
          <w:rFonts w:ascii="arial" w:hAnsi="arial"/>
          <w:i/>
          <w:sz w:val="20"/>
        </w:rPr>
      </w:pPr>
      <w:r>
        <w:rPr>
          <w:rFonts w:ascii="arial" w:hAnsi="arial"/>
          <w:i/>
          <w:sz w:val="20"/>
        </w:rPr>
        <w:t xml:space="preserve">The following “Management’s discussion and analysis of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prospectus. Additionally, our historical results are not necessarily indicative of the results that may be expected in any future period. Amounts are presented in U.S. dollars. Unless the context otherwise requires, all references in this section to the “Company”, “Alamar”, “we” “our” or “us” refers to the business of Alamar Biosciences, Inc. and its subsidiary. </w:t>
      </w:r>
    </w:p>
    <w:p>
      <w:pPr>
        <w:pStyle w:val="TextBody"/>
        <w:bidi w:val="0"/>
        <w:spacing w:before="320" w:after="0"/>
        <w:jc w:val="left"/>
        <w:rPr>
          <w:rFonts w:ascii="arial" w:hAnsi="arial"/>
          <w:b/>
          <w:sz w:val="24"/>
        </w:rPr>
      </w:pPr>
      <w:r>
        <w:rPr>
          <w:rFonts w:ascii="arial" w:hAnsi="arial"/>
          <w:b/>
          <w:sz w:val="24"/>
        </w:rPr>
        <w:t xml:space="preserve">Overview </w:t>
      </w:r>
    </w:p>
    <w:p>
      <w:pPr>
        <w:pStyle w:val="TextBody"/>
        <w:bidi w:val="0"/>
        <w:spacing w:before="160" w:after="0"/>
        <w:jc w:val="left"/>
        <w:rPr>
          <w:rFonts w:ascii="arial" w:hAnsi="arial"/>
          <w:sz w:val="20"/>
        </w:rPr>
      </w:pPr>
      <w:r>
        <w:rPr>
          <w:rFonts w:ascii="arial" w:hAnsi="arial"/>
          <w:sz w:val="20"/>
        </w:rPr>
        <w:t xml:space="preserve">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 </w:t>
      </w:r>
    </w:p>
    <w:p>
      <w:pPr>
        <w:pStyle w:val="TextBody"/>
        <w:bidi w:val="0"/>
        <w:spacing w:before="160" w:after="0"/>
        <w:jc w:val="left"/>
        <w:rPr>
          <w:rFonts w:ascii="arial" w:hAnsi="arial"/>
          <w:sz w:val="20"/>
        </w:rPr>
      </w:pPr>
      <w:r>
        <w:rPr>
          <w:rFonts w:ascii="arial" w:hAnsi="arial"/>
          <w:sz w:val="20"/>
        </w:rPr>
        <w:t xml:space="preserve">We commercially launched our proprietary instrument, the ARGO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We are also developing a second instrument as part of our IVD platform, called the ARGO HT/DX instrument, for which we intend to provide a submission to the FDA for marketing authorization in 2027. The robust performance of our platform is further evidenced in over 100 scientific publications since our commercial launch. Our customers include top global research and academic institutions, biopharmaceutical companies, contract research organizations and service labs. All ten of the top ten biopharma companies by 2024 revenue are customers of Alamar. We have also established multiple multi-million dollar collaborations with renowned research foundations to help support the development of our ARGO HT/DX instrument and the discovery of biomarkers in neurodegenerative disease. </w:t>
      </w:r>
    </w:p>
    <w:p>
      <w:pPr>
        <w:pStyle w:val="TextBody"/>
        <w:bidi w:val="0"/>
        <w:spacing w:before="160" w:after="0"/>
        <w:jc w:val="left"/>
        <w:rPr>
          <w:rFonts w:ascii="arial" w:hAnsi="arial"/>
          <w:sz w:val="20"/>
        </w:rPr>
      </w:pPr>
      <w:r>
        <w:rPr>
          <w:rFonts w:ascii="arial" w:hAnsi="arial"/>
          <w:sz w:val="20"/>
        </w:rPr>
        <w:t xml:space="preserve">We are a trusted partner to our customers, with a market reputation built on our deep understanding of, and ability to address, their evolving needs. For the year ended December 31, 2025, 51% of our sales revenue was generated from academic institutions, 44% was generated from biopharmaceutical companies and 5% was generated from distributors. </w:t>
      </w:r>
    </w:p>
    <w:p>
      <w:pPr>
        <w:pStyle w:val="TextBody"/>
        <w:bidi w:val="0"/>
        <w:spacing w:before="160" w:after="0"/>
        <w:jc w:val="left"/>
        <w:rPr>
          <w:rFonts w:ascii="arial" w:hAnsi="arial"/>
          <w:sz w:val="20"/>
        </w:rPr>
      </w:pPr>
      <w:r>
        <w:rPr>
          <w:rFonts w:ascii="arial" w:hAnsi="arial"/>
          <w:sz w:val="20"/>
        </w:rPr>
        <w:t xml:space="preserve">As of December 31, 2025, our direct sales team consisted of 25 employees. We sell our products primarily through our direct sales channels in North America, Europe, and China, which together account for the majority of our revenue. In addition, we have established distribution agreements in Australia, portions of Eastern Europe, India, Japan, Singapore and South Korea. Our products are currently sold for research use only. For the year ended December 31, 2025, 62% of sales were from the Americas region, 30% was from the EMEA region and 8% was from APAC.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Revenue increased 195% to $74.2 million for the year ended December 31, 2025, compared to $25.1 million in the prior year. This growth was driven primarily by increased adoption of our platform by new customers, resulting in substantial expansion of our installed base to over 100 instruments as of December 31, 2025, and increased consumables pull-through from that installed base. </w:t>
      </w:r>
    </w:p>
    <w:p>
      <w:pPr>
        <w:pStyle w:val="TextBody"/>
        <w:bidi w:val="0"/>
        <w:spacing w:before="160" w:after="0"/>
        <w:jc w:val="left"/>
        <w:rPr>
          <w:rFonts w:ascii="arial" w:hAnsi="arial"/>
          <w:sz w:val="20"/>
        </w:rPr>
      </w:pPr>
      <w:r>
        <w:rPr>
          <w:rFonts w:ascii="arial" w:hAnsi="arial"/>
          <w:sz w:val="20"/>
        </w:rPr>
        <w:t xml:space="preserve">We devote a significant portion of our resources to research and development. Our research and development efforts focus on developing new panels of assays to target an expanding menu of protein targets; improving the performance of our existing assays and software; developing new ARGO instrument solutions, including the ARGO HT/DX instrument, for which we intend to provide a submission to the FDA for marketing authorization in 2027; enhancing and expanding the capabilities of the ARGO HT instrument; developing integrated software and workflows across multiple solutions that work with our instruments; and evaluating new technologies. Research and development expenses were $39.2 million and $37.5 million for the years ended December 31, 2024 and 2025, respectively. We expect to continue making significant investments in research and development for the foreseeable future. </w:t>
      </w:r>
    </w:p>
    <w:p>
      <w:pPr>
        <w:pStyle w:val="TextBody"/>
        <w:bidi w:val="0"/>
        <w:spacing w:before="160" w:after="0"/>
        <w:jc w:val="left"/>
        <w:rPr>
          <w:rFonts w:ascii="arial" w:hAnsi="arial"/>
          <w:sz w:val="20"/>
        </w:rPr>
      </w:pPr>
      <w:r>
        <w:rPr>
          <w:rFonts w:ascii="arial" w:hAnsi="arial"/>
          <w:sz w:val="20"/>
        </w:rPr>
        <w:t xml:space="preserve">We outsource the manufacturing of our instruments to third-party contract manufacturers and manufacture the majority of our consumable products in-house, with certain components sourced from key suppliers. Our operating model is designed to be capital efficient and to scale effectively as product volumes increase. </w:t>
      </w:r>
    </w:p>
    <w:p>
      <w:pPr>
        <w:pStyle w:val="TextBody"/>
        <w:bidi w:val="0"/>
        <w:spacing w:before="160" w:after="0"/>
        <w:jc w:val="left"/>
        <w:rPr>
          <w:rFonts w:ascii="arial" w:hAnsi="arial"/>
          <w:sz w:val="20"/>
        </w:rPr>
      </w:pPr>
      <w:r>
        <w:rPr>
          <w:rFonts w:ascii="arial" w:hAnsi="arial"/>
          <w:sz w:val="20"/>
        </w:rPr>
        <w:t xml:space="preserve">To date, we have funded our operations primarily through sales of our instruments and consumable products, the issuance of convertible preferred stock and common stock, convertible note financings and debt financings. Since our inception in 2018, we have incurred net losses each year. Net losses were $47.1 million and $29.8 million for the years ended December 31, 2024 and 2025, respectively. As of December 31, 2025, we had an accumulated deficit of $168.8 million and unrestricted cash and cash equivalents of $30.0 million. Substantially all of our net losses have resulted from costs incurred in connection with our research and development efforts and, to a lesser extent, from selling general and administrative costs associated with our operations. We expect to continue to incur significant expenses and operating losses in the near term as we invest in the continued growth of our business to include increasing headcount required to develop, sell, and support our platforms, scale our technology platform and introduce new products and services, protect and defend our intellectual property and potentially acquire new businesses or technologies. See the section titled “Business—Legal proceedings.” In addition, following the closing of this offering, we expect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 </w:t>
      </w:r>
    </w:p>
    <w:p>
      <w:pPr>
        <w:pStyle w:val="TextBody"/>
        <w:bidi w:val="0"/>
        <w:spacing w:before="320" w:after="0"/>
        <w:jc w:val="left"/>
        <w:rPr>
          <w:rFonts w:ascii="arial" w:hAnsi="arial"/>
          <w:b/>
          <w:sz w:val="24"/>
        </w:rPr>
      </w:pPr>
      <w:r>
        <w:rPr>
          <w:rFonts w:ascii="arial" w:hAnsi="arial"/>
          <w:b/>
          <w:sz w:val="24"/>
        </w:rPr>
        <w:t xml:space="preserve">Key business metrics </w:t>
      </w:r>
    </w:p>
    <w:p>
      <w:pPr>
        <w:pStyle w:val="TextBody"/>
        <w:bidi w:val="0"/>
        <w:spacing w:before="160" w:after="0"/>
        <w:jc w:val="left"/>
        <w:rPr>
          <w:rFonts w:ascii="arial" w:hAnsi="arial"/>
          <w:sz w:val="20"/>
        </w:rPr>
      </w:pPr>
      <w:r>
        <w:rPr>
          <w:rFonts w:ascii="arial" w:hAnsi="arial"/>
          <w:sz w:val="20"/>
        </w:rPr>
        <w:t xml:space="preserve">We regularly review a number of operating and financial metrics, including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may change or may be substituted for additional or different metrics as our business evolves and as we introduce new products. </w:t>
      </w:r>
    </w:p>
    <w:p>
      <w:pPr>
        <w:pStyle w:val="TextBody"/>
        <w:bidi w:val="0"/>
        <w:spacing w:before="320" w:after="0"/>
        <w:jc w:val="left"/>
        <w:rPr>
          <w:rFonts w:ascii="arial" w:hAnsi="arial"/>
          <w:b/>
          <w:i/>
          <w:sz w:val="20"/>
        </w:rPr>
      </w:pPr>
      <w:r>
        <w:rPr>
          <w:rFonts w:ascii="arial" w:hAnsi="arial"/>
          <w:b/>
          <w:i/>
          <w:sz w:val="20"/>
        </w:rPr>
        <w:t xml:space="preserve">Instrument installed base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5"/>
        <w:gridCol w:w="489"/>
        <w:gridCol w:w="123"/>
        <w:gridCol w:w="545"/>
        <w:gridCol w:w="123"/>
        <w:gridCol w:w="600"/>
        <w:gridCol w:w="123"/>
        <w:gridCol w:w="843"/>
        <w:gridCol w:w="64"/>
      </w:tblGrid>
      <w:tr>
        <w:trPr/>
        <w:tc>
          <w:tcPr>
            <w:tcW w:w="7295"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295" w:type="dxa"/>
            <w:tcBorders>
              <w:top w:val="single" w:sz="16" w:space="0" w:color="000000"/>
            </w:tcBorders>
            <w:tcMar>
              <w:top w:w="28" w:type="dxa"/>
            </w:tcMar>
            <w:vAlign w:val="center"/>
          </w:tcPr>
          <w:p>
            <w:pPr>
              <w:pStyle w:val="TableContents"/>
              <w:bidi w:val="0"/>
              <w:spacing w:before="0" w:after="283"/>
              <w:jc w:val="left"/>
              <w:rPr/>
            </w:pPr>
            <w:r>
              <w:rPr/>
              <w:t> </w:t>
            </w:r>
          </w:p>
        </w:tc>
        <w:tc>
          <w:tcPr>
            <w:tcW w:w="291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357"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295" w:type="dxa"/>
            <w:tcBorders>
              <w:bottom w:val="single" w:sz="2" w:space="0" w:color="000000"/>
            </w:tcBorders>
            <w:tcMar>
              <w:bottom w:w="28" w:type="dxa"/>
            </w:tcMar>
            <w:vAlign w:val="bottom"/>
          </w:tcPr>
          <w:p>
            <w:pPr>
              <w:pStyle w:val="TableContents"/>
              <w:bidi w:val="0"/>
              <w:spacing w:before="0" w:after="283"/>
              <w:jc w:val="left"/>
              <w:rPr/>
            </w:pPr>
            <w:r>
              <w:rPr/>
              <w:t>  </w:t>
            </w:r>
          </w:p>
        </w:tc>
        <w:tc>
          <w:tcPr>
            <w:tcW w:w="489" w:type="dxa"/>
            <w:tcBorders>
              <w:bottom w:val="single" w:sz="2" w:space="0" w:color="000000"/>
            </w:tcBorders>
            <w:tcMar>
              <w:bottom w:w="28" w:type="dxa"/>
            </w:tcMar>
            <w:vAlign w:val="bottom"/>
          </w:tcPr>
          <w:p>
            <w:pPr>
              <w:pStyle w:val="TableContents"/>
              <w:bidi w:val="0"/>
              <w:spacing w:before="0" w:after="283"/>
              <w:jc w:val="left"/>
              <w:rPr/>
            </w:pPr>
            <w:r>
              <w:rPr/>
              <w:t>  </w:t>
            </w:r>
          </w:p>
        </w:tc>
        <w:tc>
          <w:tcPr>
            <w:tcW w:w="66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0" w:type="dxa"/>
            <w:tcBorders>
              <w:bottom w:val="single" w:sz="2" w:space="0" w:color="000000"/>
            </w:tcBorders>
            <w:tcMar>
              <w:bottom w:w="28" w:type="dxa"/>
            </w:tcMar>
            <w:vAlign w:val="bottom"/>
          </w:tcPr>
          <w:p>
            <w:pPr>
              <w:pStyle w:val="TableContents"/>
              <w:bidi w:val="0"/>
              <w:spacing w:before="0" w:after="283"/>
              <w:jc w:val="left"/>
              <w:rPr/>
            </w:pPr>
            <w:r>
              <w:rPr/>
              <w:t>  </w:t>
            </w:r>
          </w:p>
        </w:tc>
        <w:tc>
          <w:tcPr>
            <w:tcW w:w="9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295"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Instrument installed base</w:t>
            </w:r>
          </w:p>
        </w:tc>
        <w:tc>
          <w:tcPr>
            <w:tcW w:w="48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bottom"/>
          </w:tcPr>
          <w:p>
            <w:pPr>
              <w:pStyle w:val="TableContents"/>
              <w:bidi w:val="0"/>
              <w:spacing w:before="0" w:after="283"/>
              <w:jc w:val="right"/>
              <w:rPr/>
            </w:pPr>
            <w:r>
              <w:rPr/>
              <w:t>36</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43" w:type="dxa"/>
            <w:tcBorders>
              <w:bottom w:val="single" w:sz="2" w:space="0" w:color="000000"/>
            </w:tcBorders>
            <w:shd w:fill="CCEEFF" w:val="clear"/>
            <w:tcMar>
              <w:bottom w:w="28" w:type="dxa"/>
            </w:tcMar>
            <w:vAlign w:val="bottom"/>
          </w:tcPr>
          <w:p>
            <w:pPr>
              <w:pStyle w:val="TableContents"/>
              <w:bidi w:val="0"/>
              <w:spacing w:before="0" w:after="283"/>
              <w:jc w:val="right"/>
              <w:rPr/>
            </w:pPr>
            <w:r>
              <w:rPr/>
              <w:t>102</w:t>
            </w:r>
          </w:p>
        </w:tc>
        <w:tc>
          <w:tcPr>
            <w:tcW w:w="6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products are used by leading research and academic institutions, biopharmaceutical companies, contract research organizations and service labs around the globe. We believe the instrument installed base is one of the indicators of our ability to drive customer adoption of our products. </w:t>
      </w:r>
    </w:p>
    <w:p>
      <w:pPr>
        <w:pStyle w:val="TextBody"/>
        <w:bidi w:val="0"/>
        <w:spacing w:before="160" w:after="0"/>
        <w:jc w:val="left"/>
        <w:rPr>
          <w:rFonts w:ascii="arial" w:hAnsi="arial"/>
          <w:sz w:val="20"/>
        </w:rPr>
      </w:pPr>
      <w:r>
        <w:rPr>
          <w:rFonts w:ascii="arial" w:hAnsi="arial"/>
          <w:sz w:val="20"/>
        </w:rPr>
        <w:t xml:space="preserve">We define the instrument installed base as the cumulative number of ARGO instruments placed with customers since inception, whether they are being sold, or to a much smaller extent, leased or loaned to the customers. </w:t>
      </w:r>
    </w:p>
    <w:p>
      <w:pPr>
        <w:pStyle w:val="TextBody"/>
        <w:bidi w:val="0"/>
        <w:spacing w:before="320" w:after="0"/>
        <w:jc w:val="left"/>
        <w:rPr>
          <w:rFonts w:ascii="arial" w:hAnsi="arial"/>
          <w:b/>
          <w:i/>
          <w:sz w:val="20"/>
        </w:rPr>
      </w:pPr>
      <w:r>
        <w:rPr>
          <w:rFonts w:ascii="arial" w:hAnsi="arial"/>
          <w:b/>
          <w:i/>
          <w:sz w:val="20"/>
        </w:rPr>
        <w:t xml:space="preserve">Consumable pull-through per instrument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1"/>
        <w:gridCol w:w="590"/>
        <w:gridCol w:w="298"/>
        <w:gridCol w:w="816"/>
        <w:gridCol w:w="127"/>
        <w:gridCol w:w="703"/>
        <w:gridCol w:w="298"/>
        <w:gridCol w:w="819"/>
        <w:gridCol w:w="63"/>
      </w:tblGrid>
      <w:tr>
        <w:trPr/>
        <w:tc>
          <w:tcPr>
            <w:tcW w:w="6491"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91" w:type="dxa"/>
            <w:tcBorders>
              <w:top w:val="single" w:sz="16" w:space="0" w:color="000000"/>
            </w:tcBorders>
            <w:tcMar>
              <w:top w:w="28" w:type="dxa"/>
            </w:tcMar>
            <w:vAlign w:val="center"/>
          </w:tcPr>
          <w:p>
            <w:pPr>
              <w:pStyle w:val="TableContents"/>
              <w:bidi w:val="0"/>
              <w:spacing w:before="0" w:after="283"/>
              <w:jc w:val="left"/>
              <w:rPr/>
            </w:pPr>
            <w:r>
              <w:rPr/>
              <w:t> </w:t>
            </w:r>
          </w:p>
        </w:tc>
        <w:tc>
          <w:tcPr>
            <w:tcW w:w="371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306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91"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5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7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1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91"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Average annual consumable pull-through per instrument</w:t>
            </w:r>
          </w:p>
        </w:tc>
        <w:tc>
          <w:tcPr>
            <w:tcW w:w="59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16" w:type="dxa"/>
            <w:tcBorders>
              <w:bottom w:val="single" w:sz="2" w:space="0" w:color="000000"/>
            </w:tcBorders>
            <w:shd w:fill="CCEEFF" w:val="clear"/>
            <w:tcMar>
              <w:bottom w:w="28" w:type="dxa"/>
            </w:tcMar>
            <w:vAlign w:val="bottom"/>
          </w:tcPr>
          <w:p>
            <w:pPr>
              <w:pStyle w:val="TableContents"/>
              <w:bidi w:val="0"/>
              <w:spacing w:before="0" w:after="283"/>
              <w:jc w:val="right"/>
              <w:rPr/>
            </w:pPr>
            <w:r>
              <w:rPr/>
              <w:t>357</w:t>
            </w:r>
          </w:p>
        </w:tc>
        <w:tc>
          <w:tcPr>
            <w:tcW w:w="12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19" w:type="dxa"/>
            <w:tcBorders>
              <w:bottom w:val="single" w:sz="2" w:space="0" w:color="000000"/>
            </w:tcBorders>
            <w:shd w:fill="CCEEFF" w:val="clear"/>
            <w:tcMar>
              <w:bottom w:w="28" w:type="dxa"/>
            </w:tcMar>
            <w:vAlign w:val="bottom"/>
          </w:tcPr>
          <w:p>
            <w:pPr>
              <w:pStyle w:val="TableContents"/>
              <w:bidi w:val="0"/>
              <w:spacing w:before="0" w:after="283"/>
              <w:jc w:val="right"/>
              <w:rPr/>
            </w:pPr>
            <w:r>
              <w:rPr/>
              <w:t>529</w:t>
            </w:r>
          </w:p>
        </w:tc>
        <w:tc>
          <w:tcPr>
            <w:tcW w:w="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Our consumables are comprised of reagent kits and other single-use or limited-use materials for running assays or operating instruments. Our ARGO instruments and associated consumables are designed to work together exclusively, and we generate recurring revenue from each instrument we place. We believe that average consumable pull-through per instrument is an indicator of our ability to generate future consumable revenue. </w:t>
      </w:r>
    </w:p>
    <w:p>
      <w:pPr>
        <w:pStyle w:val="TextBody"/>
        <w:bidi w:val="0"/>
        <w:spacing w:before="160" w:after="0"/>
        <w:jc w:val="left"/>
        <w:rPr>
          <w:rFonts w:ascii="arial" w:hAnsi="arial"/>
          <w:sz w:val="20"/>
        </w:rPr>
      </w:pPr>
      <w:r>
        <w:rPr>
          <w:rFonts w:ascii="arial" w:hAnsi="arial"/>
          <w:sz w:val="20"/>
        </w:rPr>
        <w:t xml:space="preserve">We define average annual consumable pull-through per instrument as the total consumables revenue in the given period divided by the average instrument installed base during that period. We calculate the average instrument installed base for a given period using the instrument installed base as of the last day of the prior period and the instrument installed base as of the last day of the given period. We also calculate a year-to-date and average annual consumable pull-through per instrument metric by summing the quarterly pull-through for the quarters in a given year. </w:t>
      </w:r>
    </w:p>
    <w:p>
      <w:pPr>
        <w:pStyle w:val="TextBody"/>
        <w:bidi w:val="0"/>
        <w:spacing w:before="320" w:after="0"/>
        <w:jc w:val="left"/>
        <w:rPr>
          <w:rFonts w:ascii="arial" w:hAnsi="arial"/>
          <w:b/>
          <w:sz w:val="24"/>
        </w:rPr>
      </w:pPr>
      <w:r>
        <w:rPr>
          <w:rFonts w:ascii="arial" w:hAnsi="arial"/>
          <w:b/>
          <w:sz w:val="24"/>
        </w:rPr>
        <w:t xml:space="preserve">Key factors affecting our performance </w:t>
      </w:r>
    </w:p>
    <w:p>
      <w:pPr>
        <w:pStyle w:val="TextBody"/>
        <w:bidi w:val="0"/>
        <w:spacing w:before="160" w:after="0"/>
        <w:jc w:val="left"/>
        <w:rPr>
          <w:rFonts w:ascii="arial" w:hAnsi="arial"/>
          <w:sz w:val="20"/>
        </w:rPr>
      </w:pPr>
      <w:r>
        <w:rPr>
          <w:rFonts w:ascii="arial" w:hAnsi="arial"/>
          <w:sz w:val="20"/>
        </w:rPr>
        <w:t xml:space="preserve">We believe that our financial performance has been and in the foreseeable future will continue to be primarily driven by the following factors. While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 </w:t>
      </w:r>
    </w:p>
    <w:p>
      <w:pPr>
        <w:pStyle w:val="TextBody"/>
        <w:bidi w:val="0"/>
        <w:spacing w:before="320" w:after="0"/>
        <w:jc w:val="left"/>
        <w:rPr>
          <w:rFonts w:ascii="arial" w:hAnsi="arial"/>
          <w:b/>
          <w:i/>
          <w:sz w:val="20"/>
        </w:rPr>
      </w:pPr>
      <w:r>
        <w:rPr>
          <w:rFonts w:ascii="arial" w:hAnsi="arial"/>
          <w:b/>
          <w:i/>
          <w:sz w:val="20"/>
        </w:rPr>
        <w:t xml:space="preserve">Instrument sales </w:t>
      </w:r>
    </w:p>
    <w:p>
      <w:pPr>
        <w:pStyle w:val="TextBody"/>
        <w:bidi w:val="0"/>
        <w:spacing w:before="160" w:after="0"/>
        <w:jc w:val="left"/>
        <w:rPr>
          <w:rFonts w:ascii="arial" w:hAnsi="arial"/>
          <w:sz w:val="20"/>
        </w:rPr>
      </w:pPr>
      <w:r>
        <w:rPr>
          <w:rFonts w:ascii="arial" w:hAnsi="arial"/>
          <w:sz w:val="20"/>
        </w:rPr>
        <w:t xml:space="preserve">Our financial performance has been, and is expected to continue to be, significantly influenced by the rate of sales of our ARGO HT instruments. Management views instrument sales as a key measure of current business performance and an important leading indicator of future consumables revenue. We expect instrument sales to grow as we deepen penetration in existing markets and expand into new markets, including through the introduction of new instruments, features and solutions, and new assays to run on the platform. </w:t>
      </w:r>
    </w:p>
    <w:p>
      <w:pPr>
        <w:pStyle w:val="TextBody"/>
        <w:bidi w:val="0"/>
        <w:spacing w:before="160" w:after="0"/>
        <w:jc w:val="left"/>
        <w:rPr>
          <w:rFonts w:ascii="arial" w:hAnsi="arial"/>
          <w:sz w:val="20"/>
        </w:rPr>
      </w:pPr>
      <w:r>
        <w:rPr>
          <w:rFonts w:ascii="arial" w:hAnsi="arial"/>
          <w:sz w:val="20"/>
        </w:rPr>
        <w:t xml:space="preserve">We plan to drive instrument sales growth through several strategies, including expanding our global sales organization, introducing new instruments, and continuing to enhance the underlying technology and applications that support life sciences research, as well as entering into new disease markets. In support of these initiatives and to accelerate instrument sales, we increased our sales force by 56% from January 1, 2025 through December 31, 2025, and had a direct sales team of 25 employees as of December 31, 2025. We regularly solicit customer feedback and focus our research and development efforts on enhancing the ARGO HT instrument, expanding its application capabilities to address evolving customer needs, and developing new versions of the ARGO instrumentation and software. We believe these enhancements support increased adoption of our instruments and drive recurring consumables sales. In addition, we are developing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instruments designed to support the full continuum of discovery, translational research, and diagnostics, which we believe will expand our addressable market and increase utilization among customers, if approved. </w:t>
      </w:r>
    </w:p>
    <w:p>
      <w:pPr>
        <w:pStyle w:val="TextBody"/>
        <w:bidi w:val="0"/>
        <w:spacing w:before="160" w:after="0"/>
        <w:jc w:val="left"/>
        <w:rPr>
          <w:rFonts w:ascii="arial" w:hAnsi="arial"/>
          <w:sz w:val="20"/>
        </w:rPr>
      </w:pPr>
      <w:r>
        <w:rPr>
          <w:rFonts w:ascii="arial" w:hAnsi="arial"/>
          <w:sz w:val="20"/>
        </w:rPr>
        <w:t xml:space="preserve">We leverage our TAP Services to demonstrate the differentiated value of our technology. Our sales process can vary significantly based on customer type and experience with proteomics and immunoassays. In many cases, the sales process includes proof-of-concept studies conducted through TAP Services and the generation of analytical data prior to an instrument purchase. While the use of TAP Services often reinforces the sensitivity and specificity advantages of our technology and supports instrument adoption, it can also extend the overall sales cycle. Sales cycles for institutional customers may further vary based on factors such as research stage, familiarity with our products, prior purchasing history, and system adoption strategies. As a result of this variability, we have experienced, and expect to continue to experience, period-to-period fluctuations in instrument sales. </w:t>
      </w:r>
    </w:p>
    <w:p>
      <w:pPr>
        <w:pStyle w:val="TextBody"/>
        <w:bidi w:val="0"/>
        <w:spacing w:before="320" w:after="0"/>
        <w:jc w:val="left"/>
        <w:rPr>
          <w:rFonts w:ascii="arial" w:hAnsi="arial"/>
          <w:b/>
          <w:i/>
          <w:sz w:val="20"/>
        </w:rPr>
      </w:pPr>
      <w:r>
        <w:rPr>
          <w:rFonts w:ascii="arial" w:hAnsi="arial"/>
          <w:b/>
          <w:i/>
          <w:sz w:val="20"/>
        </w:rPr>
        <w:t xml:space="preserve">Consumable revenue </w:t>
      </w:r>
    </w:p>
    <w:p>
      <w:pPr>
        <w:pStyle w:val="TextBody"/>
        <w:bidi w:val="0"/>
        <w:spacing w:before="160" w:after="0"/>
        <w:jc w:val="left"/>
        <w:rPr>
          <w:rFonts w:ascii="arial" w:hAnsi="arial"/>
          <w:sz w:val="20"/>
        </w:rPr>
      </w:pPr>
      <w:r>
        <w:rPr>
          <w:rFonts w:ascii="arial" w:hAnsi="arial"/>
          <w:sz w:val="20"/>
        </w:rPr>
        <w:t xml:space="preserve">We regularly evaluate trends in recurring consumables revenue based on our product portfolio, customer base, and our understanding of how customers use our products. Consumables revenue and the relative contribution of individual consumable products may vary from quarter to quarter. These fluctuations may result from several factors, including the introduction of enhanced features and additional solutions. </w:t>
      </w:r>
    </w:p>
    <w:p>
      <w:pPr>
        <w:pStyle w:val="TextBody"/>
        <w:bidi w:val="0"/>
        <w:spacing w:before="160" w:after="0"/>
        <w:jc w:val="left"/>
        <w:rPr>
          <w:rFonts w:ascii="arial" w:hAnsi="arial"/>
          <w:sz w:val="20"/>
        </w:rPr>
      </w:pPr>
      <w:r>
        <w:rPr>
          <w:rFonts w:ascii="arial" w:hAnsi="arial"/>
          <w:sz w:val="20"/>
        </w:rPr>
        <w:t xml:space="preserve">As our installed base of instruments grows, we expect consumables revenue to increase in absolute terms and to become an increasingly significant contributor to our overall revenue over time. </w:t>
      </w:r>
    </w:p>
    <w:p>
      <w:pPr>
        <w:pStyle w:val="TextBody"/>
        <w:bidi w:val="0"/>
        <w:spacing w:before="160" w:after="0"/>
        <w:jc w:val="left"/>
        <w:rPr>
          <w:rFonts w:ascii="arial" w:hAnsi="arial"/>
          <w:sz w:val="20"/>
        </w:rPr>
      </w:pPr>
      <w:r>
        <w:rPr>
          <w:rFonts w:ascii="arial" w:hAnsi="arial"/>
          <w:sz w:val="20"/>
        </w:rPr>
        <w:t xml:space="preserve">We expect our consumables pull-through per instrument to fluctuate as our installed base expands. Expansion into new markets with less experienced users, or into smaller labs with less funding, could reduce average pull-through. We could also experience higher pull-through during periods when customers conduct large cohort projects. </w:t>
      </w:r>
    </w:p>
    <w:p>
      <w:pPr>
        <w:pStyle w:val="TextBody"/>
        <w:bidi w:val="0"/>
        <w:spacing w:before="320" w:after="0"/>
        <w:jc w:val="left"/>
        <w:rPr>
          <w:rFonts w:ascii="arial" w:hAnsi="arial"/>
          <w:b/>
          <w:i/>
          <w:sz w:val="20"/>
        </w:rPr>
      </w:pPr>
      <w:r>
        <w:rPr>
          <w:rFonts w:ascii="arial" w:hAnsi="arial"/>
          <w:b/>
          <w:i/>
          <w:sz w:val="20"/>
        </w:rPr>
        <w:t xml:space="preserve">Seasonality </w:t>
      </w:r>
    </w:p>
    <w:p>
      <w:pPr>
        <w:pStyle w:val="TextBody"/>
        <w:bidi w:val="0"/>
        <w:spacing w:before="160" w:after="0"/>
        <w:jc w:val="left"/>
        <w:rPr>
          <w:rFonts w:ascii="arial" w:hAnsi="arial"/>
          <w:sz w:val="20"/>
        </w:rPr>
      </w:pPr>
      <w:r>
        <w:rPr>
          <w:rFonts w:ascii="arial" w:hAnsi="arial"/>
          <w:sz w:val="20"/>
        </w:rPr>
        <w:t xml:space="preserve">Since the introduction of our platform, we have experienced sequential period revenue growth. However, in future periods we expect our instruments and consumables purchasing patterns to be impacted by our customers’ funding and budget cycles, which could create seasonal purchasing patterns. For example, a significant portion of our customers rely on government funding and research grants, and certain customers have budget cycles that typically expire at year-end. As a result, we expect our customer base may exhibit higher instrument purchases and consumables pull-through per instrument in the fourth quarter compared to the first three quarters of the year. We also expect in future periods that the first quarter revenue may be less than the quarter preceding it, or the fourth quarter of the prior fiscal year. </w:t>
      </w:r>
    </w:p>
    <w:p>
      <w:pPr>
        <w:pStyle w:val="TextBody"/>
        <w:bidi w:val="0"/>
        <w:spacing w:before="320" w:after="0"/>
        <w:jc w:val="left"/>
        <w:rPr>
          <w:rFonts w:ascii="arial" w:hAnsi="arial"/>
          <w:b/>
          <w:i/>
          <w:sz w:val="20"/>
        </w:rPr>
      </w:pPr>
      <w:r>
        <w:rPr>
          <w:rFonts w:ascii="arial" w:hAnsi="arial"/>
          <w:b/>
          <w:i/>
          <w:sz w:val="20"/>
        </w:rPr>
        <w:t xml:space="preserve">Services revenue </w:t>
      </w:r>
    </w:p>
    <w:p>
      <w:pPr>
        <w:pStyle w:val="TextBody"/>
        <w:bidi w:val="0"/>
        <w:spacing w:before="160" w:after="0"/>
        <w:jc w:val="left"/>
        <w:rPr>
          <w:rFonts w:ascii="arial" w:hAnsi="arial"/>
          <w:sz w:val="20"/>
        </w:rPr>
      </w:pPr>
      <w:r>
        <w:rPr>
          <w:rFonts w:ascii="arial" w:hAnsi="arial"/>
          <w:sz w:val="20"/>
        </w:rPr>
        <w:t xml:space="preserve">While a smaller percentage of revenue compared to our product revenue, an important portion of our business is our service-related offerings. We derive services revenue from (i) our TAP services for customers looking to evaluate the benefits and (ii) service contracts for maintenance and repair of our ARGO HT instruments. Our maintenance and repair contracts are offered generally for a 12-month period and extend the one-year limited warranty for the ARGO HT System. Revenue is recognized as the services are rendered over the contract term beginning after the one-year limited warranty. We expect that our maintenance and repair services revenue to grow as the initial warranty period expires and as our instrument installed base grows. As our platform continues to gain increased adoption and the number of publications covering our products increase, we expect that our TAP services grow at a slower rate than other areas of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Revenue mix and gross margin </w:t>
      </w:r>
    </w:p>
    <w:p>
      <w:pPr>
        <w:pStyle w:val="TextBody"/>
        <w:bidi w:val="0"/>
        <w:spacing w:before="160" w:after="0"/>
        <w:jc w:val="left"/>
        <w:rPr>
          <w:rFonts w:ascii="arial" w:hAnsi="arial"/>
          <w:sz w:val="20"/>
        </w:rPr>
      </w:pPr>
      <w:r>
        <w:rPr>
          <w:rFonts w:ascii="arial" w:hAnsi="arial"/>
          <w:sz w:val="20"/>
        </w:rPr>
        <w:t xml:space="preserve">Our revenue is derived from sales of our instruments, consumables and services. There will be fluctuations in mix between these offerings from period to period impacting both revenue and gross margin. As our instrument installed base grows, we expect consumables revenue to continue to become a larger percentage of revenue. </w:t>
      </w:r>
    </w:p>
    <w:p>
      <w:pPr>
        <w:pStyle w:val="TextBody"/>
        <w:bidi w:val="0"/>
        <w:spacing w:before="160" w:after="0"/>
        <w:jc w:val="left"/>
        <w:rPr>
          <w:rFonts w:ascii="arial" w:hAnsi="arial"/>
          <w:sz w:val="20"/>
        </w:rPr>
      </w:pPr>
      <w:r>
        <w:rPr>
          <w:rFonts w:ascii="arial" w:hAnsi="arial"/>
          <w:sz w:val="20"/>
        </w:rPr>
        <w:t xml:space="preserve">The list prices of our consumables vary by product. Future instrument and consumable selling prices and gross margins may fluctuate due to a variety of factors, including the manufacturing costs of such products, the introduction by others of competing products and solutions, and tariffs. We aim to mitigate downward pressure on our average selling prices by increasing the value proposition offered by the performance of our instruments and consumables, primarily by, for example, expanding the applications for our instruments, increasing the quantity and quality of data that can be obtained using our consumables, and improving the user experience. </w:t>
      </w:r>
    </w:p>
    <w:p>
      <w:pPr>
        <w:pStyle w:val="TextBody"/>
        <w:bidi w:val="0"/>
        <w:spacing w:before="160" w:after="0"/>
        <w:jc w:val="left"/>
        <w:rPr>
          <w:rFonts w:ascii="arial" w:hAnsi="arial"/>
          <w:sz w:val="20"/>
        </w:rPr>
      </w:pPr>
      <w:r>
        <w:rPr>
          <w:rFonts w:ascii="arial" w:hAnsi="arial"/>
          <w:sz w:val="20"/>
        </w:rPr>
        <w:t xml:space="preserve">In the near term, as we expect increased demand for our products, we expect to increase costs for the expansion of manufacturing, warehousing and product distribution facilities which could negatively impact on our gross margins as we add capacity in advance of full utilization. In addition to the impact of competing products entering the market, the future margin profiles of our instruments and consumables and any royalties, may impact our gross margins. </w:t>
      </w:r>
    </w:p>
    <w:p>
      <w:pPr>
        <w:pStyle w:val="TextBody"/>
        <w:bidi w:val="0"/>
        <w:spacing w:before="320" w:after="0"/>
        <w:jc w:val="left"/>
        <w:rPr>
          <w:rFonts w:ascii="arial" w:hAnsi="arial"/>
          <w:b/>
          <w:i/>
          <w:sz w:val="20"/>
        </w:rPr>
      </w:pPr>
      <w:r>
        <w:rPr>
          <w:rFonts w:ascii="arial" w:hAnsi="arial"/>
          <w:b/>
          <w:i/>
          <w:sz w:val="20"/>
        </w:rPr>
        <w:t xml:space="preserve">Continued investment in growth </w:t>
      </w:r>
    </w:p>
    <w:p>
      <w:pPr>
        <w:pStyle w:val="TextBody"/>
        <w:bidi w:val="0"/>
        <w:spacing w:before="160" w:after="0"/>
        <w:jc w:val="left"/>
        <w:rPr>
          <w:rFonts w:ascii="arial" w:hAnsi="arial"/>
          <w:sz w:val="20"/>
        </w:rPr>
      </w:pPr>
      <w:r>
        <w:rPr>
          <w:rFonts w:ascii="arial" w:hAnsi="arial"/>
          <w:sz w:val="20"/>
        </w:rPr>
        <w:t xml:space="preserve">Our significant revenue growth has been driven by rapid innovation and the strong adoption of our offerings by customers. We intend to continue making targeted investments to drive revenue growth and scale our operations, and as a result, we expect related expenses to increase. </w:t>
      </w:r>
    </w:p>
    <w:p>
      <w:pPr>
        <w:pStyle w:val="TextBody"/>
        <w:bidi w:val="0"/>
        <w:spacing w:before="160" w:after="0"/>
        <w:jc w:val="left"/>
        <w:rPr>
          <w:rFonts w:ascii="arial" w:hAnsi="arial"/>
          <w:sz w:val="20"/>
        </w:rPr>
      </w:pPr>
      <w:r>
        <w:rPr>
          <w:rFonts w:ascii="arial" w:hAnsi="arial"/>
          <w:sz w:val="20"/>
        </w:rPr>
        <w:t xml:space="preserve">We have invested, and will continue to invest, substantially in our manufacturing capabilities and commercial infrastructure. The expansion of our Fremont, California facilities is expected to support these efforts in the near term by providing additional manufacturing, research and development, and general office space. </w:t>
      </w:r>
    </w:p>
    <w:p>
      <w:pPr>
        <w:pStyle w:val="TextBody"/>
        <w:bidi w:val="0"/>
        <w:spacing w:before="160" w:after="0"/>
        <w:jc w:val="left"/>
        <w:rPr>
          <w:rFonts w:ascii="arial" w:hAnsi="arial"/>
          <w:sz w:val="20"/>
        </w:rPr>
      </w:pPr>
      <w:r>
        <w:rPr>
          <w:rFonts w:ascii="arial" w:hAnsi="arial"/>
          <w:sz w:val="20"/>
        </w:rPr>
        <w:t xml:space="preserve">We also plan to increase investment in research and development by hiring employees with the scientific and technical expertise needed to enhance existing products and bring new products to market. These investments are expected to result in higher research and development expenses and increased stock-based compensation. In addition, we plan to expand our sales and marketing activities and expect general and administrative expenses and stock-based compensation to increase as we support our growth and prepare for operating as a publicly traded company. </w:t>
      </w:r>
    </w:p>
    <w:p>
      <w:pPr>
        <w:pStyle w:val="TextBody"/>
        <w:bidi w:val="0"/>
        <w:spacing w:before="160" w:after="0"/>
        <w:jc w:val="left"/>
        <w:rPr>
          <w:rFonts w:ascii="arial" w:hAnsi="arial"/>
          <w:sz w:val="20"/>
        </w:rPr>
      </w:pPr>
      <w:r>
        <w:rPr>
          <w:rFonts w:ascii="arial" w:hAnsi="arial"/>
          <w:sz w:val="20"/>
        </w:rPr>
        <w:t xml:space="preserve">While fluctuations in cost of revenue, operating expenses, and capital expenditures may result in short-term adverse impacts on our results of operations and cash flows, we believe these investments are critical to supporting our long-term growth and scalability. </w:t>
      </w:r>
    </w:p>
    <w:p>
      <w:pPr>
        <w:pStyle w:val="TextBody"/>
        <w:bidi w:val="0"/>
        <w:spacing w:before="320" w:after="0"/>
        <w:jc w:val="left"/>
        <w:rPr>
          <w:rFonts w:ascii="arial" w:hAnsi="arial"/>
          <w:b/>
          <w:sz w:val="24"/>
        </w:rPr>
      </w:pPr>
      <w:r>
        <w:rPr>
          <w:rFonts w:ascii="arial" w:hAnsi="arial"/>
          <w:b/>
          <w:sz w:val="24"/>
        </w:rPr>
        <w:t xml:space="preserve">Components of results of operations </w:t>
      </w:r>
    </w:p>
    <w:p>
      <w:pPr>
        <w:pStyle w:val="TextBody"/>
        <w:bidi w:val="0"/>
        <w:spacing w:before="160" w:after="0"/>
        <w:jc w:val="left"/>
        <w:rPr>
          <w:rFonts w:ascii="arial" w:hAnsi="arial"/>
          <w:b/>
          <w:i/>
          <w:sz w:val="20"/>
        </w:rPr>
      </w:pPr>
      <w:r>
        <w:rPr>
          <w:rFonts w:ascii="arial" w:hAnsi="arial"/>
          <w:b/>
          <w:i/>
          <w:sz w:val="20"/>
        </w:rPr>
        <w:t xml:space="preserve">Revenue </w:t>
      </w:r>
    </w:p>
    <w:p>
      <w:pPr>
        <w:pStyle w:val="TextBody"/>
        <w:bidi w:val="0"/>
        <w:spacing w:before="160" w:after="0"/>
        <w:jc w:val="left"/>
        <w:rPr>
          <w:rFonts w:ascii="arial" w:hAnsi="arial"/>
          <w:sz w:val="20"/>
        </w:rPr>
      </w:pPr>
      <w:r>
        <w:rPr>
          <w:rFonts w:ascii="arial" w:hAnsi="arial"/>
          <w:sz w:val="20"/>
        </w:rPr>
        <w:t xml:space="preserve">We generate revenue primarily from the sale of our ARGO HT instrument and associated consumables. We also derive service revenue from our Technology Access Program (“TAP”), which provides customers with the opportunity to ship samples to be tested at our lab using either NULISA multiplex or single-plex assays, and analytical reports are delivered via an electronic file, often prior to instrument purchase, and from the sale of instrument maintenance contracts, which extend support beyond the standard one-year warranty period. For the portion of sales denominated in foreign currencies, our revenue is subject to fluctuation based on the foreign currency in which our products are sold, principally for sales denominated in euros.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Revenue from instruments is generally recognized upon delivery and consumables are generally recognized upon shipment. Revenue from consumables is largely driven by the size of our instrument installed base and the volume of consumables sold per instrument. Revenue from TAP services is recognized when analytical results are delivered to the customer. Maintenance contract revenue is recognized ratably over the contract term, with the coverage beginning after the expiration of the standard one-year warranty period. </w:t>
      </w:r>
    </w:p>
    <w:p>
      <w:pPr>
        <w:pStyle w:val="TextBody"/>
        <w:bidi w:val="0"/>
        <w:spacing w:before="320" w:after="0"/>
        <w:jc w:val="left"/>
        <w:rPr>
          <w:rFonts w:ascii="arial" w:hAnsi="arial"/>
          <w:b/>
          <w:i/>
          <w:sz w:val="20"/>
        </w:rPr>
      </w:pPr>
      <w:r>
        <w:rPr>
          <w:rFonts w:ascii="arial" w:hAnsi="arial"/>
          <w:b/>
          <w:i/>
          <w:sz w:val="20"/>
        </w:rPr>
        <w:t xml:space="preserve">Cost of revenue </w:t>
      </w:r>
    </w:p>
    <w:p>
      <w:pPr>
        <w:pStyle w:val="TextBody"/>
        <w:bidi w:val="0"/>
        <w:spacing w:before="160" w:after="0"/>
        <w:jc w:val="left"/>
        <w:rPr>
          <w:rFonts w:ascii="arial" w:hAnsi="arial"/>
          <w:sz w:val="20"/>
        </w:rPr>
      </w:pPr>
      <w:r>
        <w:rPr>
          <w:rFonts w:ascii="arial" w:hAnsi="arial"/>
          <w:sz w:val="20"/>
        </w:rPr>
        <w:t xml:space="preserve">Cost of revenue primarily consists of manufacturing costs incurred in the production process including personnel and related costs, third party manufacturing costs, costs of component materials, labor and overhead, packaging and delivery costs, royalty payments and allocated costs including facilities and information technology. We plan to hire additional employees as well as expand our manufacturing, warehousing and product distribution facilities, including increasing manufacturing automation to support our growth. In addition, cost of revenue includes warranty costs, provisions for slow-moving and obsolete inventory, personnel and related costs, and component costs incurred in connection with our obligations under our instrument service agreements. We expect cost of revenue to increase in absolute dollars in future periods. </w:t>
      </w:r>
    </w:p>
    <w:p>
      <w:pPr>
        <w:pStyle w:val="TextBody"/>
        <w:bidi w:val="0"/>
        <w:spacing w:before="320" w:after="0"/>
        <w:jc w:val="left"/>
        <w:rPr>
          <w:rFonts w:ascii="arial" w:hAnsi="arial"/>
          <w:b/>
          <w:i/>
          <w:sz w:val="20"/>
        </w:rPr>
      </w:pPr>
      <w:r>
        <w:rPr>
          <w:rFonts w:ascii="arial" w:hAnsi="arial"/>
          <w:b/>
          <w:i/>
          <w:sz w:val="20"/>
        </w:rPr>
        <w:t xml:space="preserve">Gross profit and gross margin </w:t>
      </w:r>
    </w:p>
    <w:p>
      <w:pPr>
        <w:pStyle w:val="TextBody"/>
        <w:bidi w:val="0"/>
        <w:spacing w:before="160" w:after="0"/>
        <w:jc w:val="left"/>
        <w:rPr>
          <w:rFonts w:ascii="arial" w:hAnsi="arial"/>
          <w:sz w:val="20"/>
        </w:rPr>
      </w:pPr>
      <w:r>
        <w:rPr>
          <w:rFonts w:ascii="arial" w:hAnsi="arial"/>
          <w:sz w:val="20"/>
        </w:rPr>
        <w:t xml:space="preserve">Gross profit is calculated as revenue less cost of revenue. Gross margin is gross profit expressed as a percentage of revenue. Our gross profit in future periods will depend on a variety of factors, including: market conditions that may impact our pricing; sales mix changes among consumables, instruments and services; product mix changes between established products and new products; excess and obsolete inventories; royalties; our cost structure for manufacturing operations relative to volume and changes in product design; and product warranty obligations. We expect an increase in absolute dollars of both revenue and cost of revenue. </w:t>
      </w:r>
    </w:p>
    <w:p>
      <w:pPr>
        <w:pStyle w:val="TextBody"/>
        <w:bidi w:val="0"/>
        <w:spacing w:before="320" w:after="0"/>
        <w:jc w:val="left"/>
        <w:rPr>
          <w:rFonts w:ascii="arial" w:hAnsi="arial"/>
          <w:b/>
          <w:i/>
          <w:sz w:val="20"/>
        </w:rPr>
      </w:pPr>
      <w:r>
        <w:rPr>
          <w:rFonts w:ascii="arial" w:hAnsi="arial"/>
          <w:b/>
          <w:i/>
          <w:sz w:val="20"/>
        </w:rPr>
        <w:t xml:space="preserve">Operating expenses </w:t>
      </w:r>
    </w:p>
    <w:p>
      <w:pPr>
        <w:pStyle w:val="TextBody"/>
        <w:bidi w:val="0"/>
        <w:spacing w:before="160" w:after="0"/>
        <w:jc w:val="left"/>
        <w:rPr>
          <w:rFonts w:ascii="arial" w:hAnsi="arial"/>
          <w:sz w:val="20"/>
        </w:rPr>
      </w:pPr>
      <w:r>
        <w:rPr>
          <w:rFonts w:ascii="arial" w:hAnsi="arial"/>
          <w:sz w:val="20"/>
        </w:rPr>
        <w:t xml:space="preserve">Our operating expenses consist of (i) research and development and (ii) selling, general and administrative expenses. </w:t>
      </w:r>
    </w:p>
    <w:p>
      <w:pPr>
        <w:pStyle w:val="TextBody"/>
        <w:bidi w:val="0"/>
        <w:spacing w:before="320" w:after="0"/>
        <w:jc w:val="left"/>
        <w:rPr>
          <w:rFonts w:ascii="arial" w:hAnsi="arial"/>
          <w:i/>
          <w:sz w:val="20"/>
        </w:rPr>
      </w:pPr>
      <w:r>
        <w:rPr>
          <w:rFonts w:ascii="arial" w:hAnsi="arial"/>
          <w:i/>
          <w:sz w:val="20"/>
        </w:rPr>
        <w:t xml:space="preserve">Research and development </w:t>
      </w:r>
    </w:p>
    <w:p>
      <w:pPr>
        <w:pStyle w:val="TextBody"/>
        <w:bidi w:val="0"/>
        <w:spacing w:before="160" w:after="0"/>
        <w:jc w:val="left"/>
        <w:rPr>
          <w:rFonts w:ascii="arial" w:hAnsi="arial"/>
          <w:sz w:val="20"/>
        </w:rPr>
      </w:pPr>
      <w:r>
        <w:rPr>
          <w:rFonts w:ascii="arial" w:hAnsi="arial"/>
          <w:sz w:val="20"/>
        </w:rPr>
        <w:t xml:space="preserve">Research and development expense primarily consists of personnel and related costs, independent contractor costs, laboratory supplies, equipment maintenance, prototype and materials expenses, and allocated costs including facilities and information technology. </w:t>
      </w:r>
    </w:p>
    <w:p>
      <w:pPr>
        <w:pStyle w:val="TextBody"/>
        <w:bidi w:val="0"/>
        <w:spacing w:before="160" w:after="0"/>
        <w:jc w:val="left"/>
        <w:rPr>
          <w:rFonts w:ascii="arial" w:hAnsi="arial"/>
          <w:sz w:val="20"/>
        </w:rPr>
      </w:pPr>
      <w:r>
        <w:rPr>
          <w:rFonts w:ascii="arial" w:hAnsi="arial"/>
          <w:sz w:val="20"/>
        </w:rPr>
        <w:t xml:space="preserve">We plan to continue to invest in our research and development efforts, including hiring additional employees, to enhance existing products and develop new products. We expect allocated facilities costs to increase as we grow the size of our research and development center in Fremont, California. We expect research and development expense will increase substantially in absolute dollars in future periods. </w:t>
      </w:r>
    </w:p>
    <w:p>
      <w:pPr>
        <w:pStyle w:val="TextBody"/>
        <w:bidi w:val="0"/>
        <w:spacing w:before="320" w:after="0"/>
        <w:jc w:val="left"/>
        <w:rPr>
          <w:rFonts w:ascii="arial" w:hAnsi="arial"/>
          <w:i/>
          <w:sz w:val="20"/>
        </w:rPr>
      </w:pPr>
      <w:r>
        <w:rPr>
          <w:rFonts w:ascii="arial" w:hAnsi="arial"/>
          <w:i/>
          <w:sz w:val="20"/>
        </w:rPr>
        <w:t xml:space="preserve">Selling, general and administrative </w:t>
      </w:r>
    </w:p>
    <w:p>
      <w:pPr>
        <w:pStyle w:val="TextBody"/>
        <w:bidi w:val="0"/>
        <w:spacing w:before="160" w:after="0"/>
        <w:jc w:val="left"/>
        <w:rPr>
          <w:rFonts w:ascii="arial" w:hAnsi="arial"/>
          <w:sz w:val="20"/>
        </w:rPr>
      </w:pPr>
      <w:r>
        <w:rPr>
          <w:rFonts w:ascii="arial" w:hAnsi="arial"/>
          <w:sz w:val="20"/>
        </w:rPr>
        <w:t xml:space="preserve">Selling, general and administrative expense primarily consists of costs related to the selling and marketing of our products, including sales incentives and advertising expenses and costs associated with our finance, accounting, legal, human resources and administrative personnel. Related costs associated with these functions, such as attorney and accounting fees, recruiting services, administrative services, insurance, public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relations and communication activities, marketing programs and trade show appearances, travel, customer service costs and allocated costs including facilities and information technology, are also included in selling, general and administrative expenses. </w:t>
      </w:r>
    </w:p>
    <w:p>
      <w:pPr>
        <w:pStyle w:val="TextBody"/>
        <w:bidi w:val="0"/>
        <w:spacing w:before="160" w:after="0"/>
        <w:jc w:val="left"/>
        <w:rPr>
          <w:rFonts w:ascii="arial" w:hAnsi="arial"/>
          <w:sz w:val="20"/>
        </w:rPr>
      </w:pPr>
      <w:r>
        <w:rPr>
          <w:rFonts w:ascii="arial" w:hAnsi="arial"/>
          <w:sz w:val="20"/>
        </w:rPr>
        <w:t xml:space="preserve">We expect to incur additional selling, general and administrative expenses due to continued investment in our sales, marketing and customer service efforts to support the anticipated growth of our business. We also expect increased infrastructure costs, as well as increased costs for accounting, human resources, legal, insurance, investor relations and other costs associated with becoming a public company. We expect to continue our hiring, in the United States as well as internationally, in all these areas in line with the continued growth of our business. We also expect allocated facilities costs to increase as we expand our facilities in Fremont, California. We expect selling, general and administrative expenses to increase substantially in absolute dollars in future periods. </w:t>
      </w:r>
    </w:p>
    <w:p>
      <w:pPr>
        <w:pStyle w:val="TextBody"/>
        <w:bidi w:val="0"/>
        <w:spacing w:before="320" w:after="0"/>
        <w:jc w:val="left"/>
        <w:rPr>
          <w:rFonts w:ascii="arial" w:hAnsi="arial"/>
          <w:i/>
          <w:sz w:val="20"/>
        </w:rPr>
      </w:pPr>
      <w:r>
        <w:rPr>
          <w:rFonts w:ascii="arial" w:hAnsi="arial"/>
          <w:i/>
          <w:sz w:val="20"/>
        </w:rPr>
        <w:t xml:space="preserve">Interest income, net </w:t>
      </w:r>
    </w:p>
    <w:p>
      <w:pPr>
        <w:pStyle w:val="TextBody"/>
        <w:bidi w:val="0"/>
        <w:spacing w:before="160" w:after="0"/>
        <w:jc w:val="left"/>
        <w:rPr>
          <w:rFonts w:ascii="arial" w:hAnsi="arial"/>
          <w:sz w:val="20"/>
        </w:rPr>
      </w:pPr>
      <w:r>
        <w:rPr>
          <w:rFonts w:ascii="arial" w:hAnsi="arial"/>
          <w:sz w:val="20"/>
        </w:rPr>
        <w:t xml:space="preserve">Interest income, net primarily includes interest earned from our investments in marketable debt securities. Results can vary based on investment balances and prevailing interest rates. </w:t>
      </w:r>
    </w:p>
    <w:p>
      <w:pPr>
        <w:pStyle w:val="TextBody"/>
        <w:bidi w:val="0"/>
        <w:spacing w:before="320" w:after="0"/>
        <w:jc w:val="left"/>
        <w:rPr>
          <w:rFonts w:ascii="arial" w:hAnsi="arial"/>
          <w:i/>
          <w:sz w:val="20"/>
        </w:rPr>
      </w:pPr>
      <w:r>
        <w:rPr>
          <w:rFonts w:ascii="arial" w:hAnsi="arial"/>
          <w:i/>
          <w:sz w:val="20"/>
        </w:rPr>
        <w:t xml:space="preserve">Interest expense </w:t>
      </w:r>
    </w:p>
    <w:p>
      <w:pPr>
        <w:pStyle w:val="TextBody"/>
        <w:bidi w:val="0"/>
        <w:spacing w:before="160" w:after="0"/>
        <w:jc w:val="left"/>
        <w:rPr>
          <w:rFonts w:ascii="arial" w:hAnsi="arial"/>
          <w:sz w:val="20"/>
        </w:rPr>
      </w:pPr>
      <w:r>
        <w:rPr>
          <w:rFonts w:ascii="arial" w:hAnsi="arial"/>
          <w:sz w:val="20"/>
        </w:rPr>
        <w:t xml:space="preserve">Interest expense consists of interest on our outstanding debt. See the subsection titled “—Liquidity and capital resources” below. </w:t>
      </w:r>
    </w:p>
    <w:p>
      <w:pPr>
        <w:pStyle w:val="TextBody"/>
        <w:bidi w:val="0"/>
        <w:spacing w:before="320" w:after="0"/>
        <w:jc w:val="left"/>
        <w:rPr>
          <w:rFonts w:ascii="arial" w:hAnsi="arial"/>
          <w:i/>
          <w:sz w:val="20"/>
        </w:rPr>
      </w:pPr>
      <w:r>
        <w:rPr>
          <w:rFonts w:ascii="arial" w:hAnsi="arial"/>
          <w:i/>
          <w:sz w:val="20"/>
        </w:rPr>
        <w:t xml:space="preserve">Other expense, net </w:t>
      </w:r>
    </w:p>
    <w:p>
      <w:pPr>
        <w:pStyle w:val="TextBody"/>
        <w:bidi w:val="0"/>
        <w:spacing w:before="160" w:after="0"/>
        <w:jc w:val="left"/>
        <w:rPr>
          <w:rFonts w:ascii="arial" w:hAnsi="arial"/>
          <w:sz w:val="20"/>
        </w:rPr>
      </w:pPr>
      <w:r>
        <w:rPr>
          <w:rFonts w:ascii="arial" w:hAnsi="arial"/>
          <w:sz w:val="20"/>
        </w:rPr>
        <w:t xml:space="preserve">Other expense, net consists primarily of foreign currency gains and losses related to exchange rate fluctuations affecting international operations. These expenses can fluctuate based on market conditions and currency volatility. </w:t>
      </w:r>
    </w:p>
    <w:p>
      <w:pPr>
        <w:pStyle w:val="TextBody"/>
        <w:bidi w:val="0"/>
        <w:spacing w:before="320" w:after="0"/>
        <w:jc w:val="left"/>
        <w:rPr>
          <w:rFonts w:ascii="arial" w:hAnsi="arial"/>
          <w:b/>
          <w:i/>
          <w:sz w:val="20"/>
        </w:rPr>
      </w:pPr>
      <w:r>
        <w:rPr>
          <w:rFonts w:ascii="arial" w:hAnsi="arial"/>
          <w:b/>
          <w:i/>
          <w:sz w:val="20"/>
        </w:rPr>
        <w:t xml:space="preserve">Provision for income taxes </w:t>
      </w:r>
    </w:p>
    <w:p>
      <w:pPr>
        <w:pStyle w:val="TextBody"/>
        <w:bidi w:val="0"/>
        <w:spacing w:before="160" w:after="0"/>
        <w:jc w:val="left"/>
        <w:rPr>
          <w:rFonts w:ascii="arial" w:hAnsi="arial"/>
          <w:sz w:val="20"/>
        </w:rPr>
      </w:pPr>
      <w:r>
        <w:rPr>
          <w:rFonts w:ascii="arial" w:hAnsi="arial"/>
          <w:sz w:val="20"/>
        </w:rPr>
        <w:t xml:space="preserve">Our provision for income taxes consists primarily of foreign taxes and state taxes in the United States. As we expand the scale and scope of our international business activities, any changes in the United States and foreign taxation of such activities may increase our overall provision for income taxes in the future. </w:t>
      </w:r>
    </w:p>
    <w:p>
      <w:pPr>
        <w:pStyle w:val="TextBody"/>
        <w:bidi w:val="0"/>
        <w:spacing w:before="160" w:after="0"/>
        <w:jc w:val="left"/>
        <w:rPr>
          <w:rFonts w:ascii="arial" w:hAnsi="arial"/>
          <w:sz w:val="20"/>
        </w:rPr>
      </w:pPr>
      <w:r>
        <w:rPr>
          <w:rFonts w:ascii="arial" w:hAnsi="arial"/>
          <w:sz w:val="20"/>
        </w:rPr>
        <w:t xml:space="preserve">As of December 31, 2025, we had net operating loss (“NOL”) carryforwards for federal tax purposes of approximately $100.5 million which do not expire. As of December 31, 2025, we also had NOL carryforwards for state tax purposes of approximately $87.1 million, which expire at various dates beginning in 2038, unless previously utilized. </w:t>
      </w:r>
    </w:p>
    <w:p>
      <w:pPr>
        <w:pStyle w:val="TextBody"/>
        <w:bidi w:val="0"/>
        <w:spacing w:before="160" w:after="0"/>
        <w:jc w:val="left"/>
        <w:rPr>
          <w:rFonts w:ascii="arial" w:hAnsi="arial"/>
          <w:sz w:val="20"/>
        </w:rPr>
      </w:pPr>
      <w:r>
        <w:rPr>
          <w:rFonts w:ascii="arial" w:hAnsi="arial"/>
          <w:sz w:val="20"/>
        </w:rPr>
        <w:t xml:space="preserve">As of December 31, 2025, we have research tax credit carryforwards for federal tax purposes of approximately $9.6 million which will expire beginning in 2039, unless previously utilized. As of December 31, 2025, we also have research tax credit carryforwards for state tax purposes of approximately $7.5 million which do not expire. </w:t>
      </w:r>
    </w:p>
    <w:p>
      <w:pPr>
        <w:pStyle w:val="TextBody"/>
        <w:bidi w:val="0"/>
        <w:spacing w:before="160" w:after="0"/>
        <w:jc w:val="left"/>
        <w:rPr>
          <w:rFonts w:ascii="arial" w:hAnsi="arial"/>
          <w:sz w:val="20"/>
        </w:rPr>
      </w:pPr>
      <w:r>
        <w:rPr>
          <w:rFonts w:ascii="arial" w:hAnsi="arial"/>
          <w:sz w:val="20"/>
        </w:rPr>
        <w:t xml:space="preserve">Under Sections 382 and 383 of the Code, utilization of the NOL and tax credit carryforwards may be subject to annual limitations due to the ownership change limitation provided by the Code, and similar rules may apply under state tax laws. Events which may cause limitations in the amount of the NOL carryforwards that we may use in any one year include, but are not limited to, a cumulative ownership change of more than 50 percentage points over a three-year period. Any annual limitations may result in the expiration of NOL and tax credit carryforwards before they are able to be utilized. As such, there can be no assurance that we will be able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utilize such carryforwards. We have experienced a history of losses and a lack of future taxable income would adversely affect our ability to utilize these NOL and research and development credit carryforwards. We currently maintain a full valuation allowance against these tax assets. </w:t>
      </w:r>
    </w:p>
    <w:p>
      <w:pPr>
        <w:pStyle w:val="TextBody"/>
        <w:bidi w:val="0"/>
        <w:spacing w:before="320" w:after="0"/>
        <w:jc w:val="left"/>
        <w:rPr>
          <w:rFonts w:ascii="arial" w:hAnsi="arial"/>
          <w:b/>
          <w:sz w:val="24"/>
        </w:rPr>
      </w:pPr>
      <w:r>
        <w:rPr>
          <w:rFonts w:ascii="arial" w:hAnsi="arial"/>
          <w:b/>
          <w:sz w:val="24"/>
        </w:rPr>
        <w:t xml:space="preserve">Results of operations </w:t>
      </w:r>
    </w:p>
    <w:p>
      <w:pPr>
        <w:pStyle w:val="TextBody"/>
        <w:bidi w:val="0"/>
        <w:spacing w:before="160" w:after="0"/>
        <w:jc w:val="left"/>
        <w:rPr>
          <w:rFonts w:ascii="arial" w:hAnsi="arial"/>
          <w:b/>
          <w:i/>
          <w:sz w:val="20"/>
        </w:rPr>
      </w:pPr>
      <w:r>
        <w:rPr>
          <w:rFonts w:ascii="arial" w:hAnsi="arial"/>
          <w:b/>
          <w:i/>
          <w:sz w:val="20"/>
        </w:rPr>
        <w:t xml:space="preserve">Comparison of the years ended December 31, 2024 and 2025 </w:t>
      </w:r>
    </w:p>
    <w:p>
      <w:pPr>
        <w:pStyle w:val="TextBody"/>
        <w:bidi w:val="0"/>
        <w:spacing w:before="160" w:after="0"/>
        <w:jc w:val="left"/>
        <w:rPr>
          <w:rFonts w:ascii="arial" w:hAnsi="arial"/>
          <w:sz w:val="20"/>
        </w:rPr>
      </w:pPr>
      <w:r>
        <w:rPr>
          <w:rFonts w:ascii="arial" w:hAnsi="arial"/>
          <w:sz w:val="20"/>
        </w:rPr>
        <w:t xml:space="preserve">The following table sets forth our results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5"/>
        <w:gridCol w:w="204"/>
        <w:gridCol w:w="187"/>
        <w:gridCol w:w="1051"/>
        <w:gridCol w:w="201"/>
        <w:gridCol w:w="174"/>
        <w:gridCol w:w="187"/>
        <w:gridCol w:w="1053"/>
        <w:gridCol w:w="155"/>
        <w:gridCol w:w="162"/>
        <w:gridCol w:w="140"/>
        <w:gridCol w:w="720"/>
        <w:gridCol w:w="155"/>
        <w:gridCol w:w="162"/>
        <w:gridCol w:w="93"/>
        <w:gridCol w:w="749"/>
        <w:gridCol w:w="67"/>
      </w:tblGrid>
      <w:tr>
        <w:trPr/>
        <w:tc>
          <w:tcPr>
            <w:tcW w:w="47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745" w:type="dxa"/>
            <w:tcBorders>
              <w:top w:val="single" w:sz="16" w:space="0" w:color="000000"/>
            </w:tcBorders>
            <w:tcMar>
              <w:top w:w="28" w:type="dxa"/>
            </w:tcMar>
            <w:vAlign w:val="center"/>
          </w:tcPr>
          <w:p>
            <w:pPr>
              <w:pStyle w:val="TableContents"/>
              <w:bidi w:val="0"/>
              <w:spacing w:before="0" w:after="283"/>
              <w:jc w:val="left"/>
              <w:rPr/>
            </w:pPr>
            <w:r>
              <w:rPr/>
              <w:t> </w:t>
            </w:r>
          </w:p>
        </w:tc>
        <w:tc>
          <w:tcPr>
            <w:tcW w:w="3212"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17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7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85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5" w:type="dxa"/>
            <w:tcBorders/>
            <w:vAlign w:val="bottom"/>
          </w:tcPr>
          <w:p>
            <w:pPr>
              <w:pStyle w:val="TableContents"/>
              <w:bidi w:val="0"/>
              <w:spacing w:before="0" w:after="283"/>
              <w:jc w:val="left"/>
              <w:rPr/>
            </w:pPr>
            <w:r>
              <w:rPr/>
              <w:t> </w:t>
            </w:r>
          </w:p>
        </w:tc>
        <w:tc>
          <w:tcPr>
            <w:tcW w:w="162"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62"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42"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6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745" w:type="dxa"/>
            <w:tcBorders>
              <w:bottom w:val="single" w:sz="2" w:space="0" w:color="000000"/>
            </w:tcBorders>
            <w:tcMar>
              <w:bottom w:w="28" w:type="dxa"/>
            </w:tcMar>
            <w:vAlign w:val="bottom"/>
          </w:tcPr>
          <w:p>
            <w:pPr>
              <w:pStyle w:val="TableContents"/>
              <w:bidi w:val="0"/>
              <w:spacing w:before="0" w:after="283"/>
              <w:jc w:val="left"/>
              <w:rPr>
                <w:b/>
              </w:rPr>
            </w:pPr>
            <w:r>
              <w:rPr>
                <w:b/>
              </w:rPr>
              <w:t>(dollars in thousands)</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38"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201" w:type="dxa"/>
            <w:tcBorders>
              <w:bottom w:val="single" w:sz="2" w:space="0" w:color="000000"/>
            </w:tcBorders>
            <w:tcMar>
              <w:bottom w:w="28" w:type="dxa"/>
            </w:tcMar>
            <w:vAlign w:val="bottom"/>
          </w:tcPr>
          <w:p>
            <w:pPr>
              <w:pStyle w:val="TableContents"/>
              <w:bidi w:val="0"/>
              <w:spacing w:before="0" w:after="283"/>
              <w:jc w:val="left"/>
              <w:rPr/>
            </w:pPr>
            <w:r>
              <w:rPr/>
              <w:t> </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62" w:type="dxa"/>
            <w:vMerge w:val="continue"/>
            <w:tcBorders>
              <w:bottom w:val="single" w:sz="2" w:space="0" w:color="000000"/>
            </w:tcBorders>
            <w:tcMar>
              <w:bottom w:w="28" w:type="dxa"/>
            </w:tcMar>
            <w:vAlign w:val="bottom"/>
          </w:tcPr>
          <w:p>
            <w:pPr>
              <w:pStyle w:val="Normal"/>
              <w:bidi w:val="0"/>
              <w:jc w:val="left"/>
              <w:rPr/>
            </w:pPr>
            <w:r>
              <w:rPr/>
            </w:r>
          </w:p>
        </w:tc>
        <w:tc>
          <w:tcPr>
            <w:tcW w:w="86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162" w:type="dxa"/>
            <w:vMerge w:val="continue"/>
            <w:tcBorders>
              <w:bottom w:val="single" w:sz="2" w:space="0" w:color="000000"/>
            </w:tcBorders>
            <w:tcMar>
              <w:bottom w:w="28" w:type="dxa"/>
            </w:tcMar>
            <w:vAlign w:val="bottom"/>
          </w:tcPr>
          <w:p>
            <w:pPr>
              <w:pStyle w:val="Normal"/>
              <w:bidi w:val="0"/>
              <w:jc w:val="left"/>
              <w:rPr/>
            </w:pPr>
            <w:r>
              <w:rPr/>
            </w:r>
          </w:p>
        </w:tc>
        <w:tc>
          <w:tcPr>
            <w:tcW w:w="842" w:type="dxa"/>
            <w:gridSpan w:val="2"/>
            <w:vMerge w:val="continue"/>
            <w:tcBorders>
              <w:bottom w:val="single" w:sz="2" w:space="0" w:color="000000"/>
            </w:tcBorders>
            <w:tcMar>
              <w:bottom w:w="28" w:type="dxa"/>
            </w:tcMar>
            <w:vAlign w:val="bottom"/>
          </w:tcPr>
          <w:p>
            <w:pPr>
              <w:pStyle w:val="Normal"/>
              <w:bidi w:val="0"/>
              <w:jc w:val="left"/>
              <w:rPr/>
            </w:pPr>
            <w:r>
              <w:rPr/>
            </w:r>
          </w:p>
        </w:tc>
        <w:tc>
          <w:tcPr>
            <w:tcW w:w="67" w:type="dxa"/>
            <w:vMerge w:val="continue"/>
            <w:tcBorders>
              <w:bottom w:val="single" w:sz="2" w:space="0" w:color="000000"/>
            </w:tcBorders>
            <w:tcMar>
              <w:bottom w:w="28" w:type="dxa"/>
            </w:tcMar>
            <w:vAlign w:val="bottom"/>
          </w:tcPr>
          <w:p>
            <w:pPr>
              <w:pStyle w:val="Normal"/>
              <w:bidi w:val="0"/>
              <w:jc w:val="left"/>
              <w:rPr/>
            </w:pPr>
            <w:r>
              <w:rPr/>
            </w:r>
          </w:p>
        </w:tc>
      </w:tr>
      <w:tr>
        <w:trPr>
          <w:trHeight w:val="75" w:hRule="atLeast"/>
        </w:trPr>
        <w:tc>
          <w:tcPr>
            <w:tcW w:w="4745" w:type="dxa"/>
            <w:tcBorders/>
            <w:vAlign w:val="center"/>
          </w:tcPr>
          <w:p>
            <w:pPr>
              <w:pStyle w:val="TableContents"/>
              <w:bidi w:val="0"/>
              <w:spacing w:before="0" w:after="283"/>
              <w:jc w:val="left"/>
              <w:rPr>
                <w:sz w:val="4"/>
                <w:szCs w:val="4"/>
              </w:rPr>
            </w:pPr>
            <w:r>
              <w:rPr>
                <w:sz w:val="4"/>
                <w:szCs w:val="4"/>
              </w:rPr>
            </w:r>
          </w:p>
        </w:tc>
        <w:tc>
          <w:tcPr>
            <w:tcW w:w="1643"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1"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sz w:val="4"/>
                <w:szCs w:val="4"/>
              </w:rPr>
            </w:pPr>
            <w:r>
              <w:rPr>
                <w:sz w:val="4"/>
                <w:szCs w:val="4"/>
              </w:rPr>
            </w:r>
          </w:p>
        </w:tc>
        <w:tc>
          <w:tcPr>
            <w:tcW w:w="749"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0"/>
              <w:jc w:val="left"/>
              <w:rPr>
                <w:rFonts w:ascii="arial" w:hAnsi="arial"/>
                <w:sz w:val="20"/>
              </w:rPr>
            </w:pPr>
            <w:r>
              <w:rPr>
                <w:rFonts w:ascii="arial" w:hAnsi="arial"/>
                <w:sz w:val="20"/>
              </w:rPr>
              <w:t>Product revenue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16,370</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58,439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42,069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257 %</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Service and other revenue</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8,772</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15,772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80 %</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Total revenue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25,142</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74,211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49,069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195 %</w:t>
            </w:r>
          </w:p>
        </w:tc>
        <w:tc>
          <w:tcPr>
            <w:tcW w:w="67" w:type="dxa"/>
            <w:tcBorders/>
            <w:vAlign w:val="bottom"/>
          </w:tcPr>
          <w:p>
            <w:pPr>
              <w:pStyle w:val="TableContents"/>
              <w:bidi w:val="0"/>
              <w:spacing w:before="0" w:after="283"/>
              <w:jc w:val="left"/>
              <w:rPr/>
            </w:pPr>
            <w:r>
              <w:rPr/>
              <w:t> </w:t>
            </w:r>
          </w:p>
        </w:tc>
      </w:tr>
      <w:tr>
        <w:trPr>
          <w:trHeight w:val="75" w:hRule="atLeast"/>
        </w:trPr>
        <w:tc>
          <w:tcPr>
            <w:tcW w:w="4745" w:type="dxa"/>
            <w:tcBorders/>
            <w:vAlign w:val="center"/>
          </w:tcPr>
          <w:p>
            <w:pPr>
              <w:pStyle w:val="TableContents"/>
              <w:bidi w:val="0"/>
              <w:spacing w:before="0" w:after="283"/>
              <w:jc w:val="left"/>
              <w:rPr>
                <w:sz w:val="4"/>
                <w:szCs w:val="4"/>
              </w:rPr>
            </w:pPr>
            <w:r>
              <w:rPr>
                <w:sz w:val="4"/>
                <w:szCs w:val="4"/>
              </w:rPr>
            </w:r>
          </w:p>
        </w:tc>
        <w:tc>
          <w:tcPr>
            <w:tcW w:w="1643"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Cost of revenue:</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1"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sz w:val="4"/>
                <w:szCs w:val="4"/>
              </w:rPr>
            </w:pPr>
            <w:r>
              <w:rPr>
                <w:sz w:val="4"/>
                <w:szCs w:val="4"/>
              </w:rPr>
            </w:r>
          </w:p>
        </w:tc>
        <w:tc>
          <w:tcPr>
            <w:tcW w:w="749"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0"/>
              <w:jc w:val="left"/>
              <w:rPr>
                <w:rFonts w:ascii="arial" w:hAnsi="arial"/>
                <w:sz w:val="20"/>
              </w:rPr>
            </w:pPr>
            <w:r>
              <w:rPr>
                <w:rFonts w:ascii="arial" w:hAnsi="arial"/>
                <w:sz w:val="20"/>
              </w:rPr>
              <w:t>Cost of product revenue(1)</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14,273</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27,146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12,873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90 %</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Cost of service and other revenue(1)</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2,262</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5,360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3,098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137 %</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Total cost of revenue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16,535</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32,506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15,971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97 %</w:t>
            </w:r>
          </w:p>
        </w:tc>
        <w:tc>
          <w:tcPr>
            <w:tcW w:w="67"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Gross profit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8,607</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41,705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33,098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385 %</w:t>
            </w:r>
          </w:p>
        </w:tc>
        <w:tc>
          <w:tcPr>
            <w:tcW w:w="67" w:type="dxa"/>
            <w:tcBorders/>
            <w:shd w:fill="CCEEFF" w:val="clear"/>
            <w:vAlign w:val="bottom"/>
          </w:tcPr>
          <w:p>
            <w:pPr>
              <w:pStyle w:val="TableContents"/>
              <w:bidi w:val="0"/>
              <w:spacing w:before="0" w:after="283"/>
              <w:jc w:val="left"/>
              <w:rPr/>
            </w:pPr>
            <w:r>
              <w:rPr/>
              <w:t> </w:t>
            </w:r>
          </w:p>
        </w:tc>
      </w:tr>
      <w:tr>
        <w:trPr>
          <w:trHeight w:val="75" w:hRule="atLeast"/>
        </w:trPr>
        <w:tc>
          <w:tcPr>
            <w:tcW w:w="4745" w:type="dxa"/>
            <w:tcBorders/>
            <w:vAlign w:val="center"/>
          </w:tcPr>
          <w:p>
            <w:pPr>
              <w:pStyle w:val="TableContents"/>
              <w:bidi w:val="0"/>
              <w:spacing w:before="0" w:after="283"/>
              <w:jc w:val="left"/>
              <w:rPr>
                <w:sz w:val="4"/>
                <w:szCs w:val="4"/>
              </w:rPr>
            </w:pPr>
            <w:r>
              <w:rPr>
                <w:sz w:val="4"/>
                <w:szCs w:val="4"/>
              </w:rPr>
            </w:r>
          </w:p>
        </w:tc>
        <w:tc>
          <w:tcPr>
            <w:tcW w:w="1643"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0"/>
              <w:jc w:val="left"/>
              <w:rPr>
                <w:rFonts w:ascii="arial" w:hAnsi="arial"/>
                <w:sz w:val="20"/>
              </w:rPr>
            </w:pPr>
            <w:r>
              <w:rPr>
                <w:rFonts w:ascii="arial" w:hAnsi="arial"/>
                <w:sz w:val="20"/>
              </w:rPr>
              <w:t>Operating expenses:</w:t>
            </w:r>
          </w:p>
        </w:tc>
        <w:tc>
          <w:tcPr>
            <w:tcW w:w="204" w:type="dxa"/>
            <w:tcBorders/>
            <w:vAlign w:val="bottom"/>
          </w:tcPr>
          <w:p>
            <w:pPr>
              <w:pStyle w:val="TableContents"/>
              <w:bidi w:val="0"/>
              <w:spacing w:before="0" w:after="283"/>
              <w:jc w:val="left"/>
              <w:rPr/>
            </w:pPr>
            <w:r>
              <w:rPr/>
              <w:t>  </w:t>
            </w:r>
          </w:p>
        </w:tc>
        <w:tc>
          <w:tcPr>
            <w:tcW w:w="187" w:type="dxa"/>
            <w:tcBorders/>
          </w:tcPr>
          <w:p>
            <w:pPr>
              <w:pStyle w:val="TableContents"/>
              <w:bidi w:val="0"/>
              <w:spacing w:before="0" w:after="283"/>
              <w:jc w:val="left"/>
              <w:rPr>
                <w:sz w:val="4"/>
                <w:szCs w:val="4"/>
              </w:rPr>
            </w:pPr>
            <w:r>
              <w:rPr>
                <w:sz w:val="4"/>
                <w:szCs w:val="4"/>
              </w:rPr>
            </w:r>
          </w:p>
        </w:tc>
        <w:tc>
          <w:tcPr>
            <w:tcW w:w="1051" w:type="dxa"/>
            <w:tcBorders/>
          </w:tcPr>
          <w:p>
            <w:pPr>
              <w:pStyle w:val="TableContents"/>
              <w:bidi w:val="0"/>
              <w:spacing w:before="0" w:after="283"/>
              <w:jc w:val="left"/>
              <w:rPr>
                <w:sz w:val="4"/>
                <w:szCs w:val="4"/>
              </w:rPr>
            </w:pPr>
            <w:r>
              <w:rPr>
                <w:sz w:val="4"/>
                <w:szCs w:val="4"/>
              </w:rPr>
            </w:r>
          </w:p>
        </w:tc>
        <w:tc>
          <w:tcPr>
            <w:tcW w:w="201" w:type="dxa"/>
            <w:tcBorders/>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87" w:type="dxa"/>
            <w:tcBorders/>
          </w:tcPr>
          <w:p>
            <w:pPr>
              <w:pStyle w:val="TableContents"/>
              <w:bidi w:val="0"/>
              <w:spacing w:before="0" w:after="283"/>
              <w:jc w:val="left"/>
              <w:rPr>
                <w:sz w:val="4"/>
                <w:szCs w:val="4"/>
              </w:rPr>
            </w:pPr>
            <w:r>
              <w:rPr>
                <w:sz w:val="4"/>
                <w:szCs w:val="4"/>
              </w:rPr>
            </w:r>
          </w:p>
        </w:tc>
        <w:tc>
          <w:tcPr>
            <w:tcW w:w="105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2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sz w:val="4"/>
                <w:szCs w:val="4"/>
              </w:rPr>
            </w:pPr>
            <w:r>
              <w:rPr>
                <w:sz w:val="4"/>
                <w:szCs w:val="4"/>
              </w:rPr>
            </w:r>
          </w:p>
        </w:tc>
        <w:tc>
          <w:tcPr>
            <w:tcW w:w="749"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39,234</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37,471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(1,763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Selling, general and administrative(1)</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18,941</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35,568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16,627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88 %</w:t>
            </w:r>
          </w:p>
        </w:tc>
        <w:tc>
          <w:tcPr>
            <w:tcW w:w="67"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58,175</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73,039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14,864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26 %</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Loss from operations</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(49,568</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(31,334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18,234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(37)%</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4,675</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2,160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(2,515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(54)%</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Interest expense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(2,078</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(401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1,677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(81)%</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Other expense (income), net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(89</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(573)%</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Net loss before income tax</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(47,060</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(29,154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17,906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(38)%</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Provision for income taxes</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13</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665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N/M</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bottom w:val="single" w:sz="2" w:space="0" w:color="000000"/>
            </w:tcBorders>
            <w:tcMar>
              <w:bottom w:w="40" w:type="dxa"/>
            </w:tcMar>
          </w:tcPr>
          <w:p>
            <w:pPr>
              <w:pStyle w:val="TableContents"/>
              <w:bidi w:val="0"/>
              <w:spacing w:before="0" w:after="0"/>
              <w:jc w:val="left"/>
              <w:rPr>
                <w:rFonts w:ascii="arial" w:hAnsi="arial"/>
                <w:sz w:val="20"/>
              </w:rPr>
            </w:pPr>
            <w:r>
              <w:rPr>
                <w:rFonts w:ascii="arial" w:hAnsi="arial"/>
                <w:sz w:val="20"/>
              </w:rPr>
              <w:t>Net loss</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87" w:type="dxa"/>
            <w:tcBorders>
              <w:bottom w:val="single" w:sz="2" w:space="0" w:color="000000"/>
            </w:tcBorders>
            <w:tcMar>
              <w:bottom w:w="40" w:type="dxa"/>
            </w:tcMar>
            <w:vAlign w:val="bottom"/>
          </w:tcPr>
          <w:p>
            <w:pPr>
              <w:pStyle w:val="TableContents"/>
              <w:bidi w:val="0"/>
              <w:spacing w:before="0" w:after="283"/>
              <w:jc w:val="left"/>
              <w:rPr/>
            </w:pPr>
            <w:r>
              <w:rPr/>
              <w:t>$</w:t>
            </w:r>
          </w:p>
        </w:tc>
        <w:tc>
          <w:tcPr>
            <w:tcW w:w="1051" w:type="dxa"/>
            <w:tcBorders>
              <w:bottom w:val="single" w:sz="2" w:space="0" w:color="000000"/>
            </w:tcBorders>
            <w:tcMar>
              <w:bottom w:w="40" w:type="dxa"/>
            </w:tcMar>
            <w:vAlign w:val="bottom"/>
          </w:tcPr>
          <w:p>
            <w:pPr>
              <w:pStyle w:val="TableContents"/>
              <w:bidi w:val="0"/>
              <w:spacing w:before="0" w:after="283"/>
              <w:jc w:val="right"/>
              <w:rPr/>
            </w:pPr>
            <w:r>
              <w:rPr/>
              <w:t>(47,073</w:t>
            </w:r>
          </w:p>
        </w:tc>
        <w:tc>
          <w:tcPr>
            <w:tcW w:w="201" w:type="dxa"/>
            <w:tcBorders>
              <w:bottom w:val="single" w:sz="2" w:space="0" w:color="000000"/>
            </w:tcBorders>
            <w:tcMar>
              <w:bottom w:w="40" w:type="dxa"/>
            </w:tcMar>
            <w:vAlign w:val="bottom"/>
          </w:tcPr>
          <w:p>
            <w:pPr>
              <w:pStyle w:val="TableContents"/>
              <w:bidi w:val="0"/>
              <w:spacing w:before="0" w:after="283"/>
              <w:jc w:val="left"/>
              <w:rPr/>
            </w:pPr>
            <w:r>
              <w:rPr/>
              <w:t>) </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87" w:type="dxa"/>
            <w:tcBorders>
              <w:bottom w:val="single" w:sz="2" w:space="0" w:color="000000"/>
            </w:tcBorders>
            <w:tcMar>
              <w:bottom w:w="40" w:type="dxa"/>
            </w:tcMar>
            <w:vAlign w:val="bottom"/>
          </w:tcPr>
          <w:p>
            <w:pPr>
              <w:pStyle w:val="TableContents"/>
              <w:bidi w:val="0"/>
              <w:spacing w:before="0" w:after="283"/>
              <w:jc w:val="left"/>
              <w:rPr/>
            </w:pPr>
            <w:r>
              <w:rPr/>
              <w:t> </w:t>
            </w:r>
          </w:p>
        </w:tc>
        <w:tc>
          <w:tcPr>
            <w:tcW w:w="1053" w:type="dxa"/>
            <w:tcBorders>
              <w:bottom w:val="single" w:sz="2" w:space="0" w:color="000000"/>
            </w:tcBorders>
            <w:tcMar>
              <w:bottom w:w="40" w:type="dxa"/>
            </w:tcMar>
            <w:vAlign w:val="bottom"/>
          </w:tcPr>
          <w:p>
            <w:pPr>
              <w:pStyle w:val="TableContents"/>
              <w:bidi w:val="0"/>
              <w:spacing w:before="0" w:after="283"/>
              <w:jc w:val="right"/>
              <w:rPr/>
            </w:pPr>
            <w:r>
              <w:rPr/>
              <w:t>(29,819</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40" w:type="dxa"/>
            </w:tcMar>
            <w:vAlign w:val="bottom"/>
          </w:tcPr>
          <w:p>
            <w:pPr>
              <w:pStyle w:val="TableContents"/>
              <w:bidi w:val="0"/>
              <w:spacing w:before="0" w:after="283"/>
              <w:jc w:val="left"/>
              <w:rPr/>
            </w:pPr>
            <w:r>
              <w:rPr/>
              <w:t> </w:t>
            </w:r>
          </w:p>
        </w:tc>
        <w:tc>
          <w:tcPr>
            <w:tcW w:w="720" w:type="dxa"/>
            <w:tcBorders>
              <w:bottom w:val="single" w:sz="2" w:space="0" w:color="000000"/>
            </w:tcBorders>
            <w:tcMar>
              <w:bottom w:w="40" w:type="dxa"/>
            </w:tcMar>
            <w:vAlign w:val="bottom"/>
          </w:tcPr>
          <w:p>
            <w:pPr>
              <w:pStyle w:val="TableContents"/>
              <w:bidi w:val="0"/>
              <w:spacing w:before="0" w:after="283"/>
              <w:jc w:val="right"/>
              <w:rPr/>
            </w:pPr>
            <w:r>
              <w:rPr/>
              <w:t>17,254</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40" w:type="dxa"/>
            </w:tcMar>
            <w:vAlign w:val="bottom"/>
          </w:tcPr>
          <w:p>
            <w:pPr>
              <w:pStyle w:val="TableContents"/>
              <w:bidi w:val="0"/>
              <w:spacing w:before="0" w:after="283"/>
              <w:jc w:val="left"/>
              <w:rPr/>
            </w:pPr>
            <w:r>
              <w:rPr/>
              <w:t> </w:t>
            </w:r>
          </w:p>
        </w:tc>
        <w:tc>
          <w:tcPr>
            <w:tcW w:w="749" w:type="dxa"/>
            <w:tcBorders>
              <w:bottom w:val="single" w:sz="2" w:space="0" w:color="000000"/>
            </w:tcBorders>
            <w:tcMar>
              <w:bottom w:w="40" w:type="dxa"/>
            </w:tcMar>
            <w:vAlign w:val="bottom"/>
          </w:tcPr>
          <w:p>
            <w:pPr>
              <w:pStyle w:val="TableContents"/>
              <w:bidi w:val="0"/>
              <w:spacing w:before="0" w:after="283"/>
              <w:jc w:val="right"/>
              <w:rPr/>
            </w:pPr>
            <w:r>
              <w:rPr/>
              <w:t>(37)%</w:t>
            </w:r>
          </w:p>
        </w:tc>
        <w:tc>
          <w:tcPr>
            <w:tcW w:w="67" w:type="dxa"/>
            <w:tcBorders>
              <w:bottom w:val="single" w:sz="2" w:space="0" w:color="000000"/>
            </w:tcBorders>
            <w:tcMar>
              <w:bottom w:w="40" w:type="dxa"/>
            </w:tcMar>
            <w:vAlign w:val="bottom"/>
          </w:tcPr>
          <w:p>
            <w:pPr>
              <w:pStyle w:val="TableContents"/>
              <w:bidi w:val="0"/>
              <w:spacing w:before="0" w:after="283"/>
              <w:jc w:val="left"/>
              <w:rPr/>
            </w:pPr>
            <w:r>
              <w:rPr/>
              <w:t> </w:t>
            </w:r>
          </w:p>
        </w:tc>
      </w:tr>
    </w:tbl>
    <w:p>
      <w:pPr>
        <w:pStyle w:val="TextBody"/>
        <w:bidi w:val="0"/>
        <w:spacing w:before="80" w:after="0"/>
        <w:jc w:val="left"/>
        <w:rPr>
          <w:rFonts w:ascii="arial" w:hAnsi="arial"/>
          <w:sz w:val="16"/>
        </w:rPr>
      </w:pPr>
      <w:r>
        <w:rPr>
          <w:rFonts w:ascii="arial" w:hAnsi="arial"/>
          <w:sz w:val="16"/>
        </w:rPr>
        <w:t xml:space="preserve">N/M – Not meaningful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Includes stock-based compensation expense as follows: </w:t>
            </w:r>
          </w:p>
        </w:tc>
      </w:tr>
    </w:tbl>
    <w:p>
      <w:pPr>
        <w:pStyle w:val="TextBody"/>
        <w:bidi w:val="0"/>
        <w:spacing w:before="0" w:after="0"/>
        <w:jc w:val="left"/>
        <w:rPr/>
      </w:pPr>
      <w:r>
        <w:rPr/>
        <w:t> </w:t>
      </w:r>
    </w:p>
    <w:tbl>
      <w:tblPr>
        <w:tblW w:w="4850" w:type="pct"/>
        <w:jc w:val="right"/>
        <w:tblInd w:w="0" w:type="dxa"/>
        <w:tblLayout w:type="fixed"/>
        <w:tblCellMar>
          <w:top w:w="0" w:type="dxa"/>
          <w:left w:w="0" w:type="dxa"/>
          <w:bottom w:w="0" w:type="dxa"/>
          <w:right w:w="0" w:type="dxa"/>
        </w:tblCellMar>
      </w:tblPr>
      <w:tblGrid>
        <w:gridCol w:w="6465"/>
        <w:gridCol w:w="439"/>
        <w:gridCol w:w="260"/>
        <w:gridCol w:w="716"/>
        <w:gridCol w:w="111"/>
        <w:gridCol w:w="523"/>
        <w:gridCol w:w="260"/>
        <w:gridCol w:w="1061"/>
        <w:gridCol w:w="63"/>
      </w:tblGrid>
      <w:tr>
        <w:trPr/>
        <w:tc>
          <w:tcPr>
            <w:tcW w:w="6465"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65" w:type="dxa"/>
            <w:tcBorders>
              <w:top w:val="single" w:sz="16" w:space="0" w:color="000000"/>
            </w:tcBorders>
            <w:tcMar>
              <w:top w:w="28" w:type="dxa"/>
            </w:tcMar>
            <w:vAlign w:val="center"/>
          </w:tcPr>
          <w:p>
            <w:pPr>
              <w:pStyle w:val="TableContents"/>
              <w:bidi w:val="0"/>
              <w:spacing w:before="0" w:after="283"/>
              <w:jc w:val="left"/>
              <w:rPr/>
            </w:pPr>
            <w:r>
              <w:rPr/>
              <w:t> </w:t>
            </w:r>
          </w:p>
        </w:tc>
        <w:tc>
          <w:tcPr>
            <w:tcW w:w="343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93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65"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976"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523" w:type="dxa"/>
            <w:tcBorders>
              <w:bottom w:val="single" w:sz="2" w:space="0" w:color="000000"/>
            </w:tcBorders>
            <w:tcMar>
              <w:bottom w:w="28" w:type="dxa"/>
            </w:tcMar>
            <w:vAlign w:val="bottom"/>
          </w:tcPr>
          <w:p>
            <w:pPr>
              <w:pStyle w:val="TableContents"/>
              <w:bidi w:val="0"/>
              <w:spacing w:before="0" w:after="283"/>
              <w:jc w:val="left"/>
              <w:rPr/>
            </w:pPr>
            <w:r>
              <w:rPr/>
              <w:t>  </w:t>
            </w:r>
          </w:p>
        </w:tc>
        <w:tc>
          <w:tcPr>
            <w:tcW w:w="13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Cost of product revenue</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46</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30</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Cost of service and other revenue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32</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Research and development</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342</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991</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Selling, general and administrative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453</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1,795</w:t>
            </w:r>
          </w:p>
        </w:tc>
        <w:tc>
          <w:tcPr>
            <w:tcW w:w="63"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11" w:type="dxa"/>
            <w:tcBorders/>
            <w:vAlign w:val="center"/>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65" w:type="dxa"/>
            <w:tcBorders>
              <w:bottom w:val="single" w:sz="2" w:space="0" w:color="000000"/>
            </w:tcBorders>
            <w:shd w:fill="CCEEFF" w:val="clear"/>
            <w:tcMar>
              <w:bottom w:w="28" w:type="dxa"/>
            </w:tcMar>
          </w:tcPr>
          <w:p>
            <w:pPr>
              <w:pStyle w:val="TableContents"/>
              <w:bidi w:val="0"/>
              <w:spacing w:before="0" w:after="0"/>
              <w:jc w:val="left"/>
              <w:rPr>
                <w:rFonts w:ascii="arial" w:hAnsi="arial"/>
                <w:sz w:val="16"/>
              </w:rPr>
            </w:pPr>
            <w:r>
              <w:rPr>
                <w:rFonts w:ascii="arial" w:hAnsi="arial"/>
                <w:sz w:val="16"/>
              </w:rPr>
              <w:t>Total stock-based compensation expense</w:t>
            </w:r>
          </w:p>
        </w:tc>
        <w:tc>
          <w:tcPr>
            <w:tcW w:w="43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716" w:type="dxa"/>
            <w:tcBorders>
              <w:bottom w:val="single" w:sz="2" w:space="0" w:color="000000"/>
            </w:tcBorders>
            <w:shd w:fill="CCEEFF" w:val="clear"/>
            <w:tcMar>
              <w:bottom w:w="28" w:type="dxa"/>
            </w:tcMar>
            <w:vAlign w:val="bottom"/>
          </w:tcPr>
          <w:p>
            <w:pPr>
              <w:pStyle w:val="TableContents"/>
              <w:bidi w:val="0"/>
              <w:spacing w:before="0" w:after="283"/>
              <w:jc w:val="right"/>
              <w:rPr/>
            </w:pPr>
            <w:r>
              <w:rPr/>
              <w:t>873</w:t>
            </w:r>
          </w:p>
        </w:tc>
        <w:tc>
          <w:tcPr>
            <w:tcW w:w="11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5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1061" w:type="dxa"/>
            <w:tcBorders>
              <w:bottom w:val="single" w:sz="2" w:space="0" w:color="000000"/>
            </w:tcBorders>
            <w:shd w:fill="CCEEFF" w:val="clear"/>
            <w:tcMar>
              <w:bottom w:w="28" w:type="dxa"/>
            </w:tcMar>
            <w:vAlign w:val="bottom"/>
          </w:tcPr>
          <w:p>
            <w:pPr>
              <w:pStyle w:val="TableContents"/>
              <w:bidi w:val="0"/>
              <w:spacing w:before="0" w:after="283"/>
              <w:jc w:val="right"/>
              <w:rPr/>
            </w:pPr>
            <w:r>
              <w:rPr/>
              <w:t>2,870</w:t>
            </w:r>
          </w:p>
        </w:tc>
        <w:tc>
          <w:tcPr>
            <w:tcW w:w="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5"/>
        <w:gridCol w:w="268"/>
        <w:gridCol w:w="209"/>
        <w:gridCol w:w="1026"/>
        <w:gridCol w:w="85"/>
        <w:gridCol w:w="306"/>
        <w:gridCol w:w="209"/>
        <w:gridCol w:w="1028"/>
        <w:gridCol w:w="60"/>
        <w:gridCol w:w="268"/>
        <w:gridCol w:w="140"/>
        <w:gridCol w:w="689"/>
        <w:gridCol w:w="60"/>
        <w:gridCol w:w="268"/>
        <w:gridCol w:w="111"/>
        <w:gridCol w:w="707"/>
        <w:gridCol w:w="66"/>
      </w:tblGrid>
      <w:tr>
        <w:trPr/>
        <w:tc>
          <w:tcPr>
            <w:tcW w:w="470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705" w:type="dxa"/>
            <w:tcBorders>
              <w:top w:val="single" w:sz="16" w:space="0" w:color="000000"/>
            </w:tcBorders>
            <w:tcMar>
              <w:top w:w="28" w:type="dxa"/>
            </w:tcMar>
            <w:vAlign w:val="center"/>
          </w:tcPr>
          <w:p>
            <w:pPr>
              <w:pStyle w:val="TableContents"/>
              <w:bidi w:val="0"/>
              <w:spacing w:before="0" w:after="283"/>
              <w:jc w:val="left"/>
              <w:rPr/>
            </w:pPr>
            <w:r>
              <w:rPr/>
              <w:t> </w:t>
            </w:r>
          </w:p>
        </w:tc>
        <w:tc>
          <w:tcPr>
            <w:tcW w:w="3191"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15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52"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86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0" w:type="dxa"/>
            <w:tcBorders/>
            <w:vAlign w:val="bottom"/>
          </w:tcPr>
          <w:p>
            <w:pPr>
              <w:pStyle w:val="TableContents"/>
              <w:bidi w:val="0"/>
              <w:spacing w:before="0" w:after="283"/>
              <w:jc w:val="left"/>
              <w:rPr/>
            </w:pPr>
            <w:r>
              <w:rPr/>
              <w:t> </w:t>
            </w:r>
          </w:p>
        </w:tc>
        <w:tc>
          <w:tcPr>
            <w:tcW w:w="268"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29"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68"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18"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66"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705" w:type="dxa"/>
            <w:tcBorders>
              <w:bottom w:val="single" w:sz="2" w:space="0" w:color="000000"/>
            </w:tcBorders>
            <w:tcMar>
              <w:bottom w:w="28" w:type="dxa"/>
            </w:tcMar>
            <w:vAlign w:val="bottom"/>
          </w:tcPr>
          <w:p>
            <w:pPr>
              <w:pStyle w:val="TableContents"/>
              <w:bidi w:val="0"/>
              <w:spacing w:before="0" w:after="283"/>
              <w:jc w:val="left"/>
              <w:rPr>
                <w:b/>
              </w:rPr>
            </w:pPr>
            <w:r>
              <w:rPr>
                <w:b/>
              </w:rPr>
              <w:t>(dollars in thousands)</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5"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12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68" w:type="dxa"/>
            <w:vMerge w:val="continue"/>
            <w:tcBorders>
              <w:bottom w:val="single" w:sz="2" w:space="0" w:color="000000"/>
            </w:tcBorders>
            <w:tcMar>
              <w:bottom w:w="28" w:type="dxa"/>
            </w:tcMar>
            <w:vAlign w:val="bottom"/>
          </w:tcPr>
          <w:p>
            <w:pPr>
              <w:pStyle w:val="Normal"/>
              <w:bidi w:val="0"/>
              <w:jc w:val="left"/>
              <w:rPr/>
            </w:pPr>
            <w:r>
              <w:rPr/>
            </w:r>
          </w:p>
        </w:tc>
        <w:tc>
          <w:tcPr>
            <w:tcW w:w="829"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68" w:type="dxa"/>
            <w:vMerge w:val="continue"/>
            <w:tcBorders>
              <w:bottom w:val="single" w:sz="2" w:space="0" w:color="000000"/>
            </w:tcBorders>
            <w:tcMar>
              <w:bottom w:w="28" w:type="dxa"/>
            </w:tcMar>
            <w:vAlign w:val="bottom"/>
          </w:tcPr>
          <w:p>
            <w:pPr>
              <w:pStyle w:val="Normal"/>
              <w:bidi w:val="0"/>
              <w:jc w:val="left"/>
              <w:rPr/>
            </w:pPr>
            <w:r>
              <w:rPr/>
            </w:r>
          </w:p>
        </w:tc>
        <w:tc>
          <w:tcPr>
            <w:tcW w:w="818" w:type="dxa"/>
            <w:gridSpan w:val="2"/>
            <w:vMerge w:val="continue"/>
            <w:tcBorders>
              <w:bottom w:val="single" w:sz="2" w:space="0" w:color="000000"/>
            </w:tcBorders>
            <w:tcMar>
              <w:bottom w:w="28" w:type="dxa"/>
            </w:tcMar>
            <w:vAlign w:val="bottom"/>
          </w:tcPr>
          <w:p>
            <w:pPr>
              <w:pStyle w:val="Normal"/>
              <w:bidi w:val="0"/>
              <w:jc w:val="left"/>
              <w:rPr/>
            </w:pPr>
            <w:r>
              <w:rPr/>
            </w:r>
          </w:p>
        </w:tc>
        <w:tc>
          <w:tcPr>
            <w:tcW w:w="66" w:type="dxa"/>
            <w:vMerge w:val="continue"/>
            <w:tcBorders>
              <w:bottom w:val="single" w:sz="2" w:space="0" w:color="000000"/>
            </w:tcBorders>
            <w:tcMar>
              <w:bottom w:w="28" w:type="dxa"/>
            </w:tcMar>
            <w:vAlign w:val="bottom"/>
          </w:tcPr>
          <w:p>
            <w:pPr>
              <w:pStyle w:val="Normal"/>
              <w:bidi w:val="0"/>
              <w:jc w:val="left"/>
              <w:rPr/>
            </w:pPr>
            <w:r>
              <w:rPr/>
            </w:r>
          </w:p>
        </w:tc>
      </w:tr>
      <w:tr>
        <w:trPr>
          <w:trHeight w:val="75" w:hRule="atLeast"/>
        </w:trPr>
        <w:tc>
          <w:tcPr>
            <w:tcW w:w="4705" w:type="dxa"/>
            <w:tcBorders/>
            <w:vAlign w:val="center"/>
          </w:tcPr>
          <w:p>
            <w:pPr>
              <w:pStyle w:val="TableContents"/>
              <w:bidi w:val="0"/>
              <w:spacing w:before="0" w:after="283"/>
              <w:jc w:val="left"/>
              <w:rPr>
                <w:sz w:val="4"/>
                <w:szCs w:val="4"/>
              </w:rPr>
            </w:pPr>
            <w:r>
              <w:rPr>
                <w:sz w:val="4"/>
                <w:szCs w:val="4"/>
              </w:rPr>
            </w:r>
          </w:p>
        </w:tc>
        <w:tc>
          <w:tcPr>
            <w:tcW w:w="1588" w:type="dxa"/>
            <w:gridSpan w:val="4"/>
            <w:tcBorders/>
            <w:vAlign w:val="center"/>
          </w:tcPr>
          <w:p>
            <w:pPr>
              <w:pStyle w:val="TableContents"/>
              <w:bidi w:val="0"/>
              <w:spacing w:before="0" w:after="283"/>
              <w:jc w:val="left"/>
              <w:rPr>
                <w:sz w:val="4"/>
                <w:szCs w:val="4"/>
              </w:rPr>
            </w:pPr>
            <w:r>
              <w:rPr>
                <w:sz w:val="4"/>
                <w:szCs w:val="4"/>
              </w:rPr>
            </w:r>
          </w:p>
        </w:tc>
        <w:tc>
          <w:tcPr>
            <w:tcW w:w="1603" w:type="dxa"/>
            <w:gridSpan w:val="4"/>
            <w:tcBorders/>
            <w:vAlign w:val="center"/>
          </w:tcPr>
          <w:p>
            <w:pPr>
              <w:pStyle w:val="TableContents"/>
              <w:bidi w:val="0"/>
              <w:spacing w:before="0" w:after="283"/>
              <w:jc w:val="left"/>
              <w:rPr>
                <w:sz w:val="4"/>
                <w:szCs w:val="4"/>
              </w:rPr>
            </w:pPr>
            <w:r>
              <w:rPr>
                <w:sz w:val="4"/>
                <w:szCs w:val="4"/>
              </w:rPr>
            </w:r>
          </w:p>
        </w:tc>
        <w:tc>
          <w:tcPr>
            <w:tcW w:w="1157" w:type="dxa"/>
            <w:gridSpan w:val="4"/>
            <w:tcBorders/>
            <w:vAlign w:val="center"/>
          </w:tcPr>
          <w:p>
            <w:pPr>
              <w:pStyle w:val="TableContents"/>
              <w:bidi w:val="0"/>
              <w:spacing w:before="0" w:after="283"/>
              <w:jc w:val="left"/>
              <w:rPr>
                <w:sz w:val="4"/>
                <w:szCs w:val="4"/>
              </w:rPr>
            </w:pPr>
            <w:r>
              <w:rPr>
                <w:sz w:val="4"/>
                <w:szCs w:val="4"/>
              </w:rPr>
            </w:r>
          </w:p>
        </w:tc>
        <w:tc>
          <w:tcPr>
            <w:tcW w:w="1152" w:type="dxa"/>
            <w:gridSpan w:val="4"/>
            <w:tcBorders/>
            <w:vAlign w:val="center"/>
          </w:tcPr>
          <w:p>
            <w:pPr>
              <w:pStyle w:val="TableContents"/>
              <w:bidi w:val="0"/>
              <w:spacing w:before="0" w:after="283"/>
              <w:jc w:val="left"/>
              <w:rPr>
                <w:sz w:val="4"/>
                <w:szCs w:val="4"/>
              </w:rPr>
            </w:pPr>
            <w:r>
              <w:rPr>
                <w:sz w:val="4"/>
                <w:szCs w:val="4"/>
              </w:rPr>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sz w:val="4"/>
                <w:szCs w:val="4"/>
              </w:rPr>
            </w:pPr>
            <w:r>
              <w:rPr>
                <w:sz w:val="4"/>
                <w:szCs w:val="4"/>
              </w:rPr>
            </w:r>
          </w:p>
        </w:tc>
        <w:tc>
          <w:tcPr>
            <w:tcW w:w="1026" w:type="dxa"/>
            <w:tcBorders/>
            <w:shd w:fill="CCEEFF" w:val="clear"/>
          </w:tcPr>
          <w:p>
            <w:pPr>
              <w:pStyle w:val="TableContents"/>
              <w:bidi w:val="0"/>
              <w:spacing w:before="0" w:after="283"/>
              <w:jc w:val="left"/>
              <w:rPr>
                <w:sz w:val="4"/>
                <w:szCs w:val="4"/>
              </w:rPr>
            </w:pPr>
            <w:r>
              <w:rPr>
                <w:sz w:val="4"/>
                <w:szCs w:val="4"/>
              </w:rPr>
            </w:r>
          </w:p>
        </w:tc>
        <w:tc>
          <w:tcPr>
            <w:tcW w:w="85" w:type="dxa"/>
            <w:tcBorders/>
            <w:shd w:fill="CCEEFF" w:val="clear"/>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sz w:val="4"/>
                <w:szCs w:val="4"/>
              </w:rPr>
            </w:pPr>
            <w:r>
              <w:rPr>
                <w:sz w:val="4"/>
                <w:szCs w:val="4"/>
              </w:rPr>
            </w:r>
          </w:p>
        </w:tc>
        <w:tc>
          <w:tcPr>
            <w:tcW w:w="102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689"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tcPr>
          <w:p>
            <w:pPr>
              <w:pStyle w:val="TableContents"/>
              <w:bidi w:val="0"/>
              <w:spacing w:before="0" w:after="283"/>
              <w:jc w:val="left"/>
              <w:rPr>
                <w:sz w:val="4"/>
                <w:szCs w:val="4"/>
              </w:rPr>
            </w:pPr>
            <w:r>
              <w:rPr>
                <w:sz w:val="4"/>
                <w:szCs w:val="4"/>
              </w:rPr>
            </w:r>
          </w:p>
        </w:tc>
        <w:tc>
          <w:tcPr>
            <w:tcW w:w="707"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tcPr>
          <w:p>
            <w:pPr>
              <w:pStyle w:val="TableContents"/>
              <w:bidi w:val="0"/>
              <w:spacing w:before="0" w:after="283"/>
              <w:jc w:val="left"/>
              <w:rPr>
                <w:sz w:val="4"/>
                <w:szCs w:val="4"/>
              </w:rPr>
            </w:pPr>
            <w:r>
              <w:rPr>
                <w:sz w:val="4"/>
                <w:szCs w:val="4"/>
              </w:rPr>
            </w:r>
          </w:p>
        </w:tc>
      </w:tr>
      <w:tr>
        <w:trPr/>
        <w:tc>
          <w:tcPr>
            <w:tcW w:w="4705" w:type="dxa"/>
            <w:tcBorders/>
          </w:tcPr>
          <w:p>
            <w:pPr>
              <w:pStyle w:val="TableContents"/>
              <w:bidi w:val="0"/>
              <w:spacing w:before="0" w:after="0"/>
              <w:jc w:val="left"/>
              <w:rPr>
                <w:rFonts w:ascii="arial" w:hAnsi="arial"/>
                <w:sz w:val="20"/>
              </w:rPr>
            </w:pPr>
            <w:r>
              <w:rPr>
                <w:rFonts w:ascii="arial" w:hAnsi="arial"/>
                <w:sz w:val="20"/>
              </w:rPr>
              <w:t>Instruments</w:t>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8,732</w:t>
            </w:r>
          </w:p>
        </w:tc>
        <w:tc>
          <w:tcPr>
            <w:tcW w:w="8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21,621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12,889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148%</w:t>
            </w:r>
          </w:p>
        </w:tc>
        <w:tc>
          <w:tcPr>
            <w:tcW w:w="66" w:type="dxa"/>
            <w:tcBorders/>
            <w:vAlign w:val="bottom"/>
          </w:tcPr>
          <w:p>
            <w:pPr>
              <w:pStyle w:val="TableContents"/>
              <w:bidi w:val="0"/>
              <w:spacing w:before="0" w:after="283"/>
              <w:jc w:val="left"/>
              <w:rPr/>
            </w:pPr>
            <w:r>
              <w:rPr/>
              <w:t> </w:t>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Consumables</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7,638</w:t>
            </w:r>
          </w:p>
        </w:tc>
        <w:tc>
          <w:tcPr>
            <w:tcW w:w="8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36,818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29,180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382%</w:t>
            </w:r>
          </w:p>
        </w:tc>
        <w:tc>
          <w:tcPr>
            <w:tcW w:w="66" w:type="dxa"/>
            <w:tcBorders/>
            <w:shd w:fill="CCEEFF" w:val="clear"/>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arial" w:hAnsi="arial"/>
                <w:sz w:val="20"/>
              </w:rPr>
            </w:pPr>
            <w:r>
              <w:rPr>
                <w:rFonts w:ascii="arial" w:hAnsi="arial"/>
                <w:sz w:val="20"/>
              </w:rPr>
              <w:t>Total product revenue</w:t>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16,370</w:t>
            </w:r>
          </w:p>
        </w:tc>
        <w:tc>
          <w:tcPr>
            <w:tcW w:w="8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58,439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42,069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257%</w:t>
            </w:r>
          </w:p>
        </w:tc>
        <w:tc>
          <w:tcPr>
            <w:tcW w:w="66" w:type="dxa"/>
            <w:tcBorders/>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Services</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8,772</w:t>
            </w:r>
          </w:p>
        </w:tc>
        <w:tc>
          <w:tcPr>
            <w:tcW w:w="8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15,272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6,500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74%</w:t>
            </w:r>
          </w:p>
        </w:tc>
        <w:tc>
          <w:tcPr>
            <w:tcW w:w="66" w:type="dxa"/>
            <w:tcBorders/>
            <w:shd w:fill="CCEEFF" w:val="clear"/>
            <w:vAlign w:val="bottom"/>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arial" w:hAnsi="arial"/>
                <w:sz w:val="20"/>
              </w:rPr>
            </w:pPr>
            <w:r>
              <w:rPr>
                <w:rFonts w:ascii="arial" w:hAnsi="arial"/>
                <w:sz w:val="20"/>
              </w:rPr>
              <w:t>Other</w:t>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8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N/M</w:t>
            </w:r>
          </w:p>
        </w:tc>
        <w:tc>
          <w:tcPr>
            <w:tcW w:w="66" w:type="dxa"/>
            <w:tcBorders/>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Total services and other revenue</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8,772</w:t>
            </w:r>
          </w:p>
        </w:tc>
        <w:tc>
          <w:tcPr>
            <w:tcW w:w="8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15,772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80%</w:t>
            </w:r>
          </w:p>
        </w:tc>
        <w:tc>
          <w:tcPr>
            <w:tcW w:w="66" w:type="dxa"/>
            <w:tcBorders/>
            <w:shd w:fill="CCEEFF" w:val="clear"/>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bottom w:val="single" w:sz="2" w:space="0" w:color="000000"/>
            </w:tcBorders>
            <w:tcMar>
              <w:bottom w:w="80" w:type="dxa"/>
            </w:tcMar>
          </w:tcPr>
          <w:p>
            <w:pPr>
              <w:pStyle w:val="TableContents"/>
              <w:bidi w:val="0"/>
              <w:spacing w:before="0" w:after="0"/>
              <w:jc w:val="left"/>
              <w:rPr>
                <w:rFonts w:ascii="arial" w:hAnsi="arial"/>
                <w:sz w:val="20"/>
              </w:rPr>
            </w:pPr>
            <w:r>
              <w:rPr>
                <w:rFonts w:ascii="arial" w:hAnsi="arial"/>
                <w:sz w:val="20"/>
              </w:rPr>
              <w:t>Total revenue</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209" w:type="dxa"/>
            <w:tcBorders>
              <w:bottom w:val="single" w:sz="2" w:space="0" w:color="000000"/>
            </w:tcBorders>
            <w:tcMar>
              <w:bottom w:w="80" w:type="dxa"/>
            </w:tcMar>
            <w:vAlign w:val="bottom"/>
          </w:tcPr>
          <w:p>
            <w:pPr>
              <w:pStyle w:val="TableContents"/>
              <w:bidi w:val="0"/>
              <w:spacing w:before="0" w:after="283"/>
              <w:jc w:val="left"/>
              <w:rPr/>
            </w:pPr>
            <w:r>
              <w:rPr/>
              <w:t>$</w:t>
            </w:r>
          </w:p>
        </w:tc>
        <w:tc>
          <w:tcPr>
            <w:tcW w:w="1026" w:type="dxa"/>
            <w:tcBorders>
              <w:bottom w:val="single" w:sz="2" w:space="0" w:color="000000"/>
            </w:tcBorders>
            <w:tcMar>
              <w:bottom w:w="80" w:type="dxa"/>
            </w:tcMar>
            <w:vAlign w:val="bottom"/>
          </w:tcPr>
          <w:p>
            <w:pPr>
              <w:pStyle w:val="TableContents"/>
              <w:bidi w:val="0"/>
              <w:spacing w:before="0" w:after="283"/>
              <w:jc w:val="right"/>
              <w:rPr/>
            </w:pPr>
            <w:r>
              <w:rPr/>
              <w:t>25,142</w:t>
            </w:r>
          </w:p>
        </w:tc>
        <w:tc>
          <w:tcPr>
            <w:tcW w:w="85" w:type="dxa"/>
            <w:tcBorders>
              <w:bottom w:val="single" w:sz="2" w:space="0" w:color="000000"/>
            </w:tcBorders>
            <w:tcMar>
              <w:bottom w:w="80"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209" w:type="dxa"/>
            <w:tcBorders>
              <w:bottom w:val="single" w:sz="2" w:space="0" w:color="000000"/>
            </w:tcBorders>
            <w:tcMar>
              <w:bottom w:w="80" w:type="dxa"/>
            </w:tcMar>
            <w:vAlign w:val="bottom"/>
          </w:tcPr>
          <w:p>
            <w:pPr>
              <w:pStyle w:val="TableContents"/>
              <w:bidi w:val="0"/>
              <w:spacing w:before="0" w:after="283"/>
              <w:jc w:val="left"/>
              <w:rPr/>
            </w:pPr>
            <w:r>
              <w:rPr/>
              <w:t>$</w:t>
            </w:r>
          </w:p>
        </w:tc>
        <w:tc>
          <w:tcPr>
            <w:tcW w:w="1028" w:type="dxa"/>
            <w:tcBorders>
              <w:bottom w:val="single" w:sz="2" w:space="0" w:color="000000"/>
            </w:tcBorders>
            <w:tcMar>
              <w:bottom w:w="80" w:type="dxa"/>
            </w:tcMar>
            <w:vAlign w:val="bottom"/>
          </w:tcPr>
          <w:p>
            <w:pPr>
              <w:pStyle w:val="TableContents"/>
              <w:bidi w:val="0"/>
              <w:spacing w:before="0" w:after="283"/>
              <w:jc w:val="right"/>
              <w:rPr/>
            </w:pPr>
            <w:r>
              <w:rPr/>
              <w:t>74,211</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80" w:type="dxa"/>
            </w:tcMar>
            <w:vAlign w:val="bottom"/>
          </w:tcPr>
          <w:p>
            <w:pPr>
              <w:pStyle w:val="TableContents"/>
              <w:bidi w:val="0"/>
              <w:spacing w:before="0" w:after="283"/>
              <w:jc w:val="left"/>
              <w:rPr/>
            </w:pPr>
            <w:r>
              <w:rPr/>
              <w:t>$</w:t>
            </w:r>
          </w:p>
        </w:tc>
        <w:tc>
          <w:tcPr>
            <w:tcW w:w="689" w:type="dxa"/>
            <w:tcBorders>
              <w:bottom w:val="single" w:sz="2" w:space="0" w:color="000000"/>
            </w:tcBorders>
            <w:tcMar>
              <w:bottom w:w="80" w:type="dxa"/>
            </w:tcMar>
            <w:vAlign w:val="bottom"/>
          </w:tcPr>
          <w:p>
            <w:pPr>
              <w:pStyle w:val="TableContents"/>
              <w:bidi w:val="0"/>
              <w:spacing w:before="0" w:after="283"/>
              <w:jc w:val="right"/>
              <w:rPr/>
            </w:pPr>
            <w:r>
              <w:rPr/>
              <w:t>49,069</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111" w:type="dxa"/>
            <w:tcBorders>
              <w:bottom w:val="single" w:sz="2" w:space="0" w:color="000000"/>
            </w:tcBorders>
            <w:tcMar>
              <w:bottom w:w="80" w:type="dxa"/>
            </w:tcMar>
            <w:vAlign w:val="bottom"/>
          </w:tcPr>
          <w:p>
            <w:pPr>
              <w:pStyle w:val="TableContents"/>
              <w:bidi w:val="0"/>
              <w:spacing w:before="0" w:after="283"/>
              <w:jc w:val="left"/>
              <w:rPr/>
            </w:pPr>
            <w:r>
              <w:rPr/>
              <w:t> </w:t>
            </w:r>
          </w:p>
        </w:tc>
        <w:tc>
          <w:tcPr>
            <w:tcW w:w="707" w:type="dxa"/>
            <w:tcBorders>
              <w:bottom w:val="single" w:sz="2" w:space="0" w:color="000000"/>
            </w:tcBorders>
            <w:tcMar>
              <w:bottom w:w="80" w:type="dxa"/>
            </w:tcMar>
            <w:vAlign w:val="bottom"/>
          </w:tcPr>
          <w:p>
            <w:pPr>
              <w:pStyle w:val="TableContents"/>
              <w:bidi w:val="0"/>
              <w:spacing w:before="0" w:after="283"/>
              <w:jc w:val="right"/>
              <w:rPr/>
            </w:pPr>
            <w:r>
              <w:rPr/>
              <w:t>195%</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r>
    </w:tbl>
    <w:p>
      <w:pPr>
        <w:pStyle w:val="TextBody"/>
        <w:bidi w:val="0"/>
        <w:spacing w:before="80" w:after="0"/>
        <w:jc w:val="left"/>
        <w:rPr>
          <w:rFonts w:ascii="arial" w:hAnsi="arial"/>
          <w:sz w:val="16"/>
        </w:rPr>
      </w:pPr>
      <w:r>
        <w:rPr>
          <w:rFonts w:ascii="arial" w:hAnsi="arial"/>
          <w:sz w:val="16"/>
        </w:rPr>
        <w:t xml:space="preserve">N/M – Not meaningful </w:t>
      </w:r>
    </w:p>
    <w:p>
      <w:pPr>
        <w:pStyle w:val="TextBody"/>
        <w:bidi w:val="0"/>
        <w:spacing w:before="160" w:after="0"/>
        <w:jc w:val="left"/>
        <w:rPr>
          <w:rFonts w:ascii="arial" w:hAnsi="arial"/>
          <w:sz w:val="20"/>
        </w:rPr>
      </w:pPr>
      <w:r>
        <w:rPr>
          <w:rFonts w:ascii="arial" w:hAnsi="arial"/>
          <w:sz w:val="20"/>
        </w:rPr>
        <w:t xml:space="preserve">Revenue was $25.1 million in 2024, compared to $74.2 million in 2025. Product revenue increased $42.1 million, or 257%, to $58.4 million for the year ended December 31, 2025 as compared to the year ended December 31, 2024, primarily driven by growth of the instrument installed base and higher average annual consumable pull-through per instrument leading to higher recurring consumables sales. Revenue also increased due to increased volume of instrument sales. </w:t>
      </w:r>
    </w:p>
    <w:p>
      <w:pPr>
        <w:pStyle w:val="TextBody"/>
        <w:bidi w:val="0"/>
        <w:spacing w:before="160" w:after="0"/>
        <w:jc w:val="left"/>
        <w:rPr>
          <w:rFonts w:ascii="arial" w:hAnsi="arial"/>
          <w:sz w:val="20"/>
        </w:rPr>
      </w:pPr>
      <w:r>
        <w:rPr>
          <w:rFonts w:ascii="arial" w:hAnsi="arial"/>
          <w:sz w:val="20"/>
        </w:rPr>
        <w:t xml:space="preserve">Service and other revenue increased $7.0 million, or 80%, to $15.8 million for the year ended December 31, 2025 as compared to the year ended December 31, 2024, primarily due to increased TAP services, including services to develop custom assays, as well as higher volumes of service agreements with maintenance and warranty support for instruments. </w:t>
      </w:r>
    </w:p>
    <w:p>
      <w:pPr>
        <w:pStyle w:val="TextBody"/>
        <w:bidi w:val="0"/>
        <w:spacing w:before="320" w:after="0"/>
        <w:jc w:val="left"/>
        <w:rPr>
          <w:rFonts w:ascii="arial" w:hAnsi="arial"/>
          <w:i/>
          <w:sz w:val="20"/>
        </w:rPr>
      </w:pPr>
      <w:r>
        <w:rPr>
          <w:rFonts w:ascii="arial" w:hAnsi="arial"/>
          <w:i/>
          <w:sz w:val="20"/>
        </w:rPr>
        <w:t xml:space="preserve">Cost of revenue </w:t>
      </w:r>
    </w:p>
    <w:p>
      <w:pPr>
        <w:pStyle w:val="TextBody"/>
        <w:bidi w:val="0"/>
        <w:spacing w:before="160" w:after="0"/>
        <w:jc w:val="left"/>
        <w:rPr>
          <w:rFonts w:ascii="arial" w:hAnsi="arial"/>
          <w:sz w:val="20"/>
        </w:rPr>
      </w:pPr>
      <w:r>
        <w:rPr>
          <w:rFonts w:ascii="arial" w:hAnsi="arial"/>
          <w:sz w:val="20"/>
        </w:rPr>
        <w:t xml:space="preserve">Cost of revenue was $16.5 million in 2024, compared to $32.5 million in 2025. Cost of product revenue increased $12.9 million, or 90%, to $27.1 million for the year ended December 31, 2025 as compared to the year ended December 31, 2024, primarily driven by increased sales volume of both instruments and consumables. Proportionately, cost of product revenue increased less than product revenue during the year ended December 31, 2025 due to a greater proportion of revenue derived from consumable sales which typically have higher margins. </w:t>
      </w:r>
    </w:p>
    <w:p>
      <w:pPr>
        <w:pStyle w:val="TextBody"/>
        <w:bidi w:val="0"/>
        <w:spacing w:before="160" w:after="0"/>
        <w:jc w:val="left"/>
        <w:rPr>
          <w:rFonts w:ascii="arial" w:hAnsi="arial"/>
          <w:sz w:val="20"/>
        </w:rPr>
      </w:pPr>
      <w:r>
        <w:rPr>
          <w:rFonts w:ascii="arial" w:hAnsi="arial"/>
          <w:sz w:val="20"/>
        </w:rPr>
        <w:t xml:space="preserve">Cost of service and other revenue increased $3.1 million, or 137%, to $5.4 million for the year ended December 31, 2025 as compared to the year ended December 31, 2024, primarily due to an increase in TAP services and expansion of service infrastructure to support the increased service sales. </w:t>
      </w:r>
    </w:p>
    <w:p>
      <w:pPr>
        <w:pStyle w:val="TextBody"/>
        <w:bidi w:val="0"/>
        <w:spacing w:before="320" w:after="0"/>
        <w:jc w:val="left"/>
        <w:rPr>
          <w:rFonts w:ascii="arial" w:hAnsi="arial"/>
          <w:i/>
          <w:sz w:val="20"/>
        </w:rPr>
      </w:pPr>
      <w:r>
        <w:rPr>
          <w:rFonts w:ascii="arial" w:hAnsi="arial"/>
          <w:i/>
          <w:sz w:val="20"/>
        </w:rPr>
        <w:t xml:space="preserve">Gross profit and gross margin </w:t>
      </w:r>
    </w:p>
    <w:p>
      <w:pPr>
        <w:pStyle w:val="TextBody"/>
        <w:bidi w:val="0"/>
        <w:spacing w:before="160" w:after="0"/>
        <w:jc w:val="left"/>
        <w:rPr>
          <w:rFonts w:ascii="arial" w:hAnsi="arial"/>
          <w:sz w:val="20"/>
        </w:rPr>
      </w:pPr>
      <w:r>
        <w:rPr>
          <w:rFonts w:ascii="arial" w:hAnsi="arial"/>
          <w:sz w:val="20"/>
        </w:rPr>
        <w:t xml:space="preserve">Gross profit was $8.6 million in 2024, compared to $41.7 million in 2025. Gross margin was 34% in 2024, compared to 56% in 2025. Gross margin for product revenue increased from 13% in 2024 to 54% in 2025, primarily attributable to a change in product mix (with a greater proportion of revenue derived from consumables, which have higher gross margins than instruments), the realization of manufacturing efficiencies for consumables at larger production volumes, and an increase in average selling price for both instruments and consumables. Approximately 82% of the increase was the result of the higher mix of consumables during 2025, and higher consumables gross margins in 2025 because of both manufacturing efficiencies and an increase in average selling prices. Approximately 18% of the increase was the result of higher instrument gross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margins in 2025 driven primarily by higher average selling price of instruments. Gross margin for service revenue decreased from 74% in 2024 to 66% in 2025, primarily attributable to lower average selling price for TAP services. </w:t>
      </w:r>
    </w:p>
    <w:p>
      <w:pPr>
        <w:pStyle w:val="TextBody"/>
        <w:bidi w:val="0"/>
        <w:spacing w:before="320" w:after="0"/>
        <w:jc w:val="left"/>
        <w:rPr>
          <w:rFonts w:ascii="arial" w:hAnsi="arial"/>
          <w:i/>
          <w:sz w:val="20"/>
        </w:rPr>
      </w:pPr>
      <w:r>
        <w:rPr>
          <w:rFonts w:ascii="arial" w:hAnsi="arial"/>
          <w:i/>
          <w:sz w:val="20"/>
        </w:rPr>
        <w:t xml:space="preserve">Operating expenses </w:t>
      </w:r>
    </w:p>
    <w:p>
      <w:pPr>
        <w:pStyle w:val="TextBody"/>
        <w:bidi w:val="0"/>
        <w:spacing w:before="160" w:after="0"/>
        <w:jc w:val="left"/>
        <w:rPr>
          <w:rFonts w:ascii="arial" w:hAnsi="arial"/>
          <w:i/>
          <w:sz w:val="20"/>
        </w:rPr>
      </w:pPr>
      <w:r>
        <w:rPr>
          <w:rFonts w:ascii="arial" w:hAnsi="arial"/>
          <w:i/>
          <w:sz w:val="20"/>
        </w:rPr>
        <w:t xml:space="preserve">Research and development </w:t>
      </w:r>
    </w:p>
    <w:p>
      <w:pPr>
        <w:pStyle w:val="TextBody"/>
        <w:bidi w:val="0"/>
        <w:spacing w:before="160" w:after="0"/>
        <w:jc w:val="left"/>
        <w:rPr>
          <w:rFonts w:ascii="arial" w:hAnsi="arial"/>
          <w:sz w:val="20"/>
        </w:rPr>
      </w:pPr>
      <w:r>
        <w:rPr>
          <w:rFonts w:ascii="arial" w:hAnsi="arial"/>
          <w:sz w:val="20"/>
        </w:rPr>
        <w:t xml:space="preserve">Research and development expense was $39.2 million in 2024, compared to $37.5 million in 2025. Research and development expense decreased $1.8 million, or 4%, for the year ended December 31, 2025 as compared to the year ended December 31, 2024. The decrease was primarily attributable to approximately $3.0 million in cost reimbursements under the Alzheimer’s Drug Discovery Foundation (“ADDF”) research agreement that was recorded as a reduction of research and development expense during the year. The remaining change reflects typical fluctuations in the timing of development program activities, including a transition from earlier-stage research initiatives in the prior period to increased validation and commercialization support in the current year. </w:t>
      </w:r>
    </w:p>
    <w:p>
      <w:pPr>
        <w:pStyle w:val="TextBody"/>
        <w:bidi w:val="0"/>
        <w:spacing w:before="320" w:after="0"/>
        <w:jc w:val="left"/>
        <w:rPr>
          <w:rFonts w:ascii="arial" w:hAnsi="arial"/>
          <w:i/>
          <w:sz w:val="20"/>
        </w:rPr>
      </w:pPr>
      <w:r>
        <w:rPr>
          <w:rFonts w:ascii="arial" w:hAnsi="arial"/>
          <w:i/>
          <w:sz w:val="20"/>
        </w:rPr>
        <w:t xml:space="preserve">Selling, general and administrative </w:t>
      </w:r>
    </w:p>
    <w:p>
      <w:pPr>
        <w:pStyle w:val="TextBody"/>
        <w:bidi w:val="0"/>
        <w:spacing w:before="160" w:after="0"/>
        <w:jc w:val="left"/>
        <w:rPr>
          <w:rFonts w:ascii="arial" w:hAnsi="arial"/>
          <w:sz w:val="20"/>
        </w:rPr>
      </w:pPr>
      <w:r>
        <w:rPr>
          <w:rFonts w:ascii="arial" w:hAnsi="arial"/>
          <w:sz w:val="20"/>
        </w:rPr>
        <w:t xml:space="preserve">Selling, general and administrative expense was $18.9 million in 2024, compared to $35.6 million in 2025. Selling, general and administrative expense increased $16.6 million, or 88%, for the year ended December 31, 2025 as compared to the year ended December 31, 2024. The increase was primarily driven by an $11.2 million increase in personnel costs due to the operational expansion of our global sales and marketing, including higher headcount and increased sales commissions tied to revenue growth as well as growth in headcount for our finance and other functions. We also increased investments in marketing programs, conferences and customer engagement activities, as well as the continued scaling of corporate infrastructure to support our finance, legal, human resources and information technology functions. </w:t>
      </w:r>
    </w:p>
    <w:p>
      <w:pPr>
        <w:pStyle w:val="TextBody"/>
        <w:bidi w:val="0"/>
        <w:spacing w:before="320" w:after="0"/>
        <w:jc w:val="left"/>
        <w:rPr>
          <w:rFonts w:ascii="arial" w:hAnsi="arial"/>
          <w:i/>
          <w:sz w:val="20"/>
        </w:rPr>
      </w:pPr>
      <w:r>
        <w:rPr>
          <w:rFonts w:ascii="arial" w:hAnsi="arial"/>
          <w:i/>
          <w:sz w:val="20"/>
        </w:rPr>
        <w:t xml:space="preserve">Interest income, net </w:t>
      </w:r>
    </w:p>
    <w:p>
      <w:pPr>
        <w:pStyle w:val="TextBody"/>
        <w:bidi w:val="0"/>
        <w:spacing w:before="160" w:after="0"/>
        <w:jc w:val="left"/>
        <w:rPr>
          <w:rFonts w:ascii="arial" w:hAnsi="arial"/>
          <w:sz w:val="20"/>
        </w:rPr>
      </w:pPr>
      <w:r>
        <w:rPr>
          <w:rFonts w:ascii="arial" w:hAnsi="arial"/>
          <w:sz w:val="20"/>
        </w:rPr>
        <w:t xml:space="preserve">Interest income, net was $4.7 million in 2024, compared to $2.2 million in 2025. Interest income, net decreased $2.5 million, or 54%, for the year ended December 31, 2025 as compared to the year ended December 31, 2024. The decrease was primarily attributable to lower average cash, cash equivalents and investment balances throughout the year, as funds were utilized to support operating activities. </w:t>
      </w:r>
    </w:p>
    <w:p>
      <w:pPr>
        <w:pStyle w:val="TextBody"/>
        <w:bidi w:val="0"/>
        <w:spacing w:before="320" w:after="0"/>
        <w:jc w:val="left"/>
        <w:rPr>
          <w:rFonts w:ascii="arial" w:hAnsi="arial"/>
          <w:i/>
          <w:sz w:val="20"/>
        </w:rPr>
      </w:pPr>
      <w:r>
        <w:rPr>
          <w:rFonts w:ascii="arial" w:hAnsi="arial"/>
          <w:i/>
          <w:sz w:val="20"/>
        </w:rPr>
        <w:t xml:space="preserve">Interest expense </w:t>
      </w:r>
    </w:p>
    <w:p>
      <w:pPr>
        <w:pStyle w:val="TextBody"/>
        <w:bidi w:val="0"/>
        <w:spacing w:before="160" w:after="0"/>
        <w:jc w:val="left"/>
        <w:rPr>
          <w:rFonts w:ascii="arial" w:hAnsi="arial"/>
          <w:sz w:val="20"/>
        </w:rPr>
      </w:pPr>
      <w:r>
        <w:rPr>
          <w:rFonts w:ascii="arial" w:hAnsi="arial"/>
          <w:sz w:val="20"/>
        </w:rPr>
        <w:t xml:space="preserve">Interest expense was $2.1 million in 2024, compared to $0.4 million in 2025. Interest expense decreased $1.7 million, or 81%, for the year ended December 31, 2025 as compared to the year ended December 31, 2024. The decrease is primarily attributable to the repayment of outstanding Hercules debt in 2024, which resulted in both the elimination of ongoing interest costs and the recognition of a one-time $1.0 million extinguishment fee in the prior year. In 2025, interest expense primarily related to borrowings in September 2025 under the amended SVB Loan Agreement. </w:t>
      </w:r>
    </w:p>
    <w:p>
      <w:pPr>
        <w:pStyle w:val="TextBody"/>
        <w:bidi w:val="0"/>
        <w:spacing w:before="320" w:after="0"/>
        <w:jc w:val="left"/>
        <w:rPr>
          <w:rFonts w:ascii="arial" w:hAnsi="arial"/>
          <w:i/>
          <w:sz w:val="20"/>
        </w:rPr>
      </w:pPr>
      <w:r>
        <w:rPr>
          <w:rFonts w:ascii="arial" w:hAnsi="arial"/>
          <w:i/>
          <w:sz w:val="20"/>
        </w:rPr>
        <w:t xml:space="preserve">Other (expense) income, net </w:t>
      </w:r>
    </w:p>
    <w:p>
      <w:pPr>
        <w:pStyle w:val="TextBody"/>
        <w:bidi w:val="0"/>
        <w:spacing w:before="160" w:after="0"/>
        <w:jc w:val="left"/>
        <w:rPr>
          <w:rFonts w:ascii="arial" w:hAnsi="arial"/>
          <w:sz w:val="20"/>
        </w:rPr>
      </w:pPr>
      <w:r>
        <w:rPr>
          <w:rFonts w:ascii="arial" w:hAnsi="arial"/>
          <w:sz w:val="20"/>
        </w:rPr>
        <w:t xml:space="preserve">Changes in other expense (income), net are primarily driven by realized and unrealized gains from foreign currency rate measurement fluctuations.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Liquidity and capital resources </w:t>
      </w:r>
    </w:p>
    <w:p>
      <w:pPr>
        <w:pStyle w:val="TextBody"/>
        <w:bidi w:val="0"/>
        <w:spacing w:before="160" w:after="0"/>
        <w:jc w:val="left"/>
        <w:rPr>
          <w:rFonts w:ascii="arial" w:hAnsi="arial"/>
          <w:sz w:val="20"/>
        </w:rPr>
      </w:pPr>
      <w:r>
        <w:rPr>
          <w:rFonts w:ascii="arial" w:hAnsi="arial"/>
          <w:sz w:val="20"/>
        </w:rPr>
        <w:t xml:space="preserve">As of December 31, 2025, we had $30.0 million in unrestricted cash and cash equivalents, $4.9 million in restricted cash, and access to a total of up to $50.0 million of unused committed term loan facility and undrawn revolver balance with SVB, subject to certain conditions. Management believes that our cash and cash equivalents at December 31, 2025 and the $56.5 million gross proceeds from the convertible notes issued in January 2026 will be sufficient to fund our current operating plans and meet our anticipated obligations for at least the next 12 months. </w:t>
      </w:r>
    </w:p>
    <w:p>
      <w:pPr>
        <w:pStyle w:val="TextBody"/>
        <w:bidi w:val="0"/>
        <w:spacing w:before="160" w:after="0"/>
        <w:jc w:val="left"/>
        <w:rPr>
          <w:rFonts w:ascii="arial" w:hAnsi="arial"/>
          <w:sz w:val="20"/>
        </w:rPr>
      </w:pPr>
      <w:r>
        <w:rPr>
          <w:rFonts w:ascii="arial" w:hAnsi="arial"/>
          <w:sz w:val="20"/>
        </w:rPr>
        <w:t xml:space="preserve">Since inception, our principal sources of liquidity have been proceeds from the sale of our equity securities and, to a lesser extent, borrowings from loan facilities. As of December 31, 2025, we had an accumulated deficit of $168.8 million, attributable to ongoing operating losses as business activities expanded toward commercialization. </w:t>
      </w:r>
    </w:p>
    <w:p>
      <w:pPr>
        <w:pStyle w:val="TextBody"/>
        <w:bidi w:val="0"/>
        <w:spacing w:before="160" w:after="0"/>
        <w:jc w:val="left"/>
        <w:rPr>
          <w:rFonts w:ascii="arial" w:hAnsi="arial"/>
          <w:sz w:val="20"/>
        </w:rPr>
      </w:pPr>
      <w:r>
        <w:rPr>
          <w:rFonts w:ascii="arial" w:hAnsi="arial"/>
          <w:sz w:val="20"/>
        </w:rPr>
        <w:t xml:space="preserve">In June 2022, we entered into a loan and security agreement with Hercules Capital, Inc. and drew a total of $15.0 million under the agreement through December 31, 2023. In June 2024, we repaid all outstanding principal under the agreement along with associated termination fees and have no outstanding borrowings or available amounts under this agreement as of December 31, 2024. </w:t>
      </w:r>
    </w:p>
    <w:p>
      <w:pPr>
        <w:pStyle w:val="TextBody"/>
        <w:bidi w:val="0"/>
        <w:spacing w:before="160" w:after="0"/>
        <w:jc w:val="left"/>
        <w:rPr>
          <w:rFonts w:ascii="arial" w:hAnsi="arial"/>
          <w:sz w:val="20"/>
        </w:rPr>
      </w:pPr>
      <w:r>
        <w:rPr>
          <w:rFonts w:ascii="arial" w:hAnsi="arial"/>
          <w:sz w:val="20"/>
        </w:rPr>
        <w:t xml:space="preserve">On July 11, 2024, we entered into a loan and security agreement with SVB which permitted us to draw term loan advances of up to an aggregate sum of $35.0 million under Tranche A and Tranche B. This amount remained undrawn until the agreement was amended in September 2025. On September 19, 2025, we entered into an amendment to the SVB Loan Agreement (the “Amendment”), which modified the availability, maturity, and certain other terms of the loan facility. As a result of the Amendment, the total borrowing capacity increased to $75.0 million, consisting of a $10.0 million revolving line of credit and up to three tranches of term loan borrowings: Tranche 1, up to $35.0 million available through June 30, 2027, Tranche 2, up to $15.0 million available through June 30, 2027 if we have achieved at least $40.0 million in revenue on a trailing six month basis on or prior to December 31, 2026, and an uncommitted accordion of $15.0 million we may request through June 30, 2028 subject to SVB’s discretion. These borrowings on the Term Loan are also conditional on maintaining ongoing covenant compliance. Borrowings on the line of credit are also subject to a borrowing base limitation of 85% of our eligible accounts receivable. Upon signing the Amendment, we borrowed $10.0 million under the loan facility as required and issued a warrant to purchase 28,685 shares of our Class B common stock to SVB. Borrowings under the SVB Loan Agreement mature on June 1, 2029 or on June 1, 2030 if certain revenue and compliance criteria are met, and the revolver matures on September 19, 2028. Additional details of the SVB Loan Agreement are included in Note 7 to our audited consolidated financial statements included elsewhere in this prospectus. </w:t>
      </w:r>
    </w:p>
    <w:p>
      <w:pPr>
        <w:pStyle w:val="TextBody"/>
        <w:bidi w:val="0"/>
        <w:spacing w:before="160" w:after="0"/>
        <w:jc w:val="left"/>
        <w:rPr>
          <w:rFonts w:ascii="arial" w:hAnsi="arial"/>
          <w:sz w:val="20"/>
        </w:rPr>
      </w:pPr>
      <w:r>
        <w:rPr>
          <w:rFonts w:ascii="arial" w:hAnsi="arial"/>
          <w:sz w:val="20"/>
        </w:rPr>
        <w:t xml:space="preserve">On January 8, 2026, we issued unsecured convertible loan notes (the “Convertible Notes”) to certain investors in an aggregate principal amount of $56.5 million. The Convertible Notes mature 18 months from the initial issuance of the notes, if not earlier converted, and, after July 31, 2026, will accrue simple interest on a daily basis at 8% per annum. Upon the closing of this offering, the Convertible Notes and any accrued but unpaid interest will automatically convert into shares of our common stock at a price per share equal to 85% of the lowest price per share for common stock sold in this offering. </w:t>
      </w:r>
    </w:p>
    <w:p>
      <w:pPr>
        <w:pStyle w:val="TextBody"/>
        <w:bidi w:val="0"/>
        <w:spacing w:before="160" w:after="0"/>
        <w:jc w:val="left"/>
        <w:rPr>
          <w:rFonts w:ascii="arial" w:hAnsi="arial"/>
          <w:sz w:val="20"/>
        </w:rPr>
      </w:pPr>
      <w:r>
        <w:rPr>
          <w:rFonts w:ascii="arial" w:hAnsi="arial"/>
          <w:sz w:val="20"/>
        </w:rPr>
        <w:t xml:space="preserve">In April 2026, we entered a lease for manufacturing, research and office space in Fremont, California. Delivery of the premises for construction of leasehold improvements is expected during the second quarter of 2026. The initial term of the lease is approximately 159 months depending on the timing of completion of leasehold improvements. We are eligible to receive up to $7.5 million in tenant improvement allowances. The total future minimum lease payments are up to $33.9 million of which none are due in the next 12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Future funding requirements </w:t>
      </w:r>
    </w:p>
    <w:p>
      <w:pPr>
        <w:pStyle w:val="TextBody"/>
        <w:bidi w:val="0"/>
        <w:spacing w:before="160" w:after="0"/>
        <w:jc w:val="left"/>
        <w:rPr>
          <w:rFonts w:ascii="arial" w:hAnsi="arial"/>
          <w:sz w:val="20"/>
        </w:rPr>
      </w:pPr>
      <w:r>
        <w:rPr>
          <w:rFonts w:ascii="arial" w:hAnsi="arial"/>
          <w:sz w:val="20"/>
        </w:rPr>
        <w:t xml:space="preserve">We expect to continue incurring substantial operating losses in the near term as we invest in research and development, manufacturing, and the commercialization of our platform and NULISA technology, including the ARGO HT instrument as well as development of the ARGO HT/DX instrument. As of December 31, 2025, we had $30.0 million in unrestricted cash and cash equivalents, as well as an unused committed term loan facility and undrawn revolver balance totaling up to $50.0 million with SVB, subject to certain conditions. While management believes that our cash and cash equivalents at December 31, 2025 and the $56.5 million gross proceeds from the convertible notes issued in January 2026 will fund our current operating plans and meet our anticipated obligations for at least the next 12 months, substantial additional capital may be required to support longer-term growth and operational objectives. </w:t>
      </w:r>
    </w:p>
    <w:p>
      <w:pPr>
        <w:pStyle w:val="TextBody"/>
        <w:bidi w:val="0"/>
        <w:spacing w:before="160" w:after="0"/>
        <w:jc w:val="left"/>
        <w:rPr>
          <w:rFonts w:ascii="arial" w:hAnsi="arial"/>
          <w:sz w:val="20"/>
        </w:rPr>
      </w:pPr>
      <w:r>
        <w:rPr>
          <w:rFonts w:ascii="arial" w:hAnsi="arial"/>
          <w:sz w:val="20"/>
        </w:rPr>
        <w:t xml:space="preserve">Our future capital requirements will depend on various factors, including, but not limited to, the scale and timing of commercialization efforts for the ARGO HT System and consumables; research and development activities for next-generation technologies, portfolio expansion, and future clinical studies; regulatory costs related to our ARGO HT/DX system and any other future instruments we develop, including seeking any regulatory approvals; general operational expenditures including personnel, facilities, and systems infrastructure; and potential debt service or repayment obligations on our term loan facility. </w:t>
      </w:r>
    </w:p>
    <w:p>
      <w:pPr>
        <w:pStyle w:val="TextBody"/>
        <w:bidi w:val="0"/>
        <w:spacing w:before="160" w:after="0"/>
        <w:jc w:val="left"/>
        <w:rPr>
          <w:rFonts w:ascii="arial" w:hAnsi="arial"/>
          <w:sz w:val="20"/>
        </w:rPr>
      </w:pPr>
      <w:r>
        <w:rPr>
          <w:rFonts w:ascii="arial" w:hAnsi="arial"/>
          <w:sz w:val="20"/>
        </w:rPr>
        <w:t xml:space="preserve">As of December 31, 2025, contractual obligations for operating leases totaled $31.7 million as further described in Note 13 to our audited consolidated financial statements included elsewhere in this prospectus. </w:t>
      </w:r>
    </w:p>
    <w:p>
      <w:pPr>
        <w:pStyle w:val="TextBody"/>
        <w:bidi w:val="0"/>
        <w:spacing w:before="160" w:after="0"/>
        <w:jc w:val="left"/>
        <w:rPr>
          <w:rFonts w:ascii="arial" w:hAnsi="arial"/>
          <w:sz w:val="20"/>
        </w:rPr>
      </w:pPr>
      <w:r>
        <w:rPr>
          <w:rFonts w:ascii="arial" w:hAnsi="arial"/>
          <w:sz w:val="20"/>
        </w:rPr>
        <w:t xml:space="preserve">We may seek to raise additional capital through public or private equity offerings, additional debt financing, or via strategic collaborations, partnerships, or other arrangements with third parties. The availability and terms of future financing will depend on a variety of factors, including general economic and market conditions, our operating performance, and investor interest. Additional funding may not be available on acceptable terms, if at all. If we are unable to obtain adequate financing when needed, we may be forced to delay, reduce the scope of, or eliminate certain development programs, commercialization efforts, or other aspects of our business. </w:t>
      </w:r>
    </w:p>
    <w:p>
      <w:pPr>
        <w:pStyle w:val="TextBody"/>
        <w:bidi w:val="0"/>
        <w:spacing w:before="160" w:after="0"/>
        <w:jc w:val="left"/>
        <w:rPr>
          <w:rFonts w:ascii="arial" w:hAnsi="arial"/>
          <w:sz w:val="20"/>
        </w:rPr>
      </w:pPr>
      <w:r>
        <w:rPr>
          <w:rFonts w:ascii="arial" w:hAnsi="arial"/>
          <w:sz w:val="20"/>
        </w:rPr>
        <w:t xml:space="preserve">Raising additional funds through equity offerings may result in dilution to our stockholders, while debt or other financing could involve covenants or obligations that restrict our business operations. Until we can generate sufficient revenue from product sales, if at all, we expect to finance our operations primarily through existing cash reserves and additional capital-raising activities. Management continues to monitor liquidity needs closely and will adapt capital strategy as needed to ensure alignment with both near- and long-term business objectives. </w:t>
      </w:r>
    </w:p>
    <w:p>
      <w:pPr>
        <w:pStyle w:val="TextBody"/>
        <w:bidi w:val="0"/>
        <w:spacing w:before="320" w:after="0"/>
        <w:jc w:val="left"/>
        <w:rPr>
          <w:rFonts w:ascii="arial" w:hAnsi="arial"/>
          <w:b/>
          <w:sz w:val="24"/>
        </w:rPr>
      </w:pPr>
      <w:r>
        <w:rPr>
          <w:rFonts w:ascii="arial" w:hAnsi="arial"/>
          <w:b/>
          <w:sz w:val="24"/>
        </w:rPr>
        <w:t xml:space="preserve">Cash flows </w:t>
      </w:r>
    </w:p>
    <w:p>
      <w:pPr>
        <w:pStyle w:val="TextBody"/>
        <w:bidi w:val="0"/>
        <w:spacing w:before="160" w:after="0"/>
        <w:jc w:val="left"/>
        <w:rPr>
          <w:rFonts w:ascii="arial" w:hAnsi="arial"/>
          <w:sz w:val="20"/>
        </w:rPr>
      </w:pPr>
      <w:r>
        <w:rPr>
          <w:rFonts w:ascii="arial" w:hAnsi="arial"/>
          <w:sz w:val="20"/>
        </w:rPr>
        <w:t xml:space="preserve">The following table summarizes our cash flows for each of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7"/>
        <w:gridCol w:w="386"/>
        <w:gridCol w:w="177"/>
        <w:gridCol w:w="1022"/>
        <w:gridCol w:w="200"/>
        <w:gridCol w:w="358"/>
        <w:gridCol w:w="177"/>
        <w:gridCol w:w="989"/>
        <w:gridCol w:w="159"/>
      </w:tblGrid>
      <w:tr>
        <w:trPr/>
        <w:tc>
          <w:tcPr>
            <w:tcW w:w="673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37" w:type="dxa"/>
            <w:tcBorders>
              <w:top w:val="single" w:sz="16" w:space="0" w:color="000000"/>
            </w:tcBorders>
            <w:tcMar>
              <w:top w:w="28" w:type="dxa"/>
            </w:tcMar>
            <w:vAlign w:val="center"/>
          </w:tcPr>
          <w:p>
            <w:pPr>
              <w:pStyle w:val="TableContents"/>
              <w:bidi w:val="0"/>
              <w:spacing w:before="0" w:after="283"/>
              <w:jc w:val="left"/>
              <w:rPr/>
            </w:pPr>
            <w:r>
              <w:rPr/>
              <w:t> </w:t>
            </w:r>
          </w:p>
        </w:tc>
        <w:tc>
          <w:tcPr>
            <w:tcW w:w="346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3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92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37"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8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20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 w:type="dxa"/>
            <w:tcBorders>
              <w:bottom w:val="single" w:sz="2" w:space="0" w:color="000000"/>
            </w:tcBorders>
            <w:tcMar>
              <w:bottom w:w="28" w:type="dxa"/>
            </w:tcMar>
            <w:vAlign w:val="bottom"/>
          </w:tcPr>
          <w:p>
            <w:pPr>
              <w:pStyle w:val="TableContents"/>
              <w:bidi w:val="0"/>
              <w:spacing w:before="0" w:after="283"/>
              <w:jc w:val="left"/>
              <w:rPr/>
            </w:pPr>
            <w:r>
              <w:rPr/>
              <w:t> </w:t>
            </w:r>
          </w:p>
        </w:tc>
        <w:tc>
          <w:tcPr>
            <w:tcW w:w="11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3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(55,214</w:t>
            </w:r>
          </w:p>
        </w:tc>
        <w:tc>
          <w:tcPr>
            <w:tcW w:w="20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(53,608</w:t>
            </w:r>
          </w:p>
        </w:tc>
        <w:tc>
          <w:tcPr>
            <w:tcW w:w="159" w:type="dxa"/>
            <w:tcBorders/>
            <w:shd w:fill="CCEEFF" w:val="clear"/>
            <w:vAlign w:val="bottom"/>
          </w:tcPr>
          <w:p>
            <w:pPr>
              <w:pStyle w:val="TableContents"/>
              <w:bidi w:val="0"/>
              <w:spacing w:before="0" w:after="283"/>
              <w:jc w:val="left"/>
              <w:rPr/>
            </w:pPr>
            <w:r>
              <w:rPr/>
              <w:t>) </w:t>
            </w:r>
          </w:p>
        </w:tc>
      </w:tr>
      <w:tr>
        <w:trPr/>
        <w:tc>
          <w:tcPr>
            <w:tcW w:w="6737" w:type="dxa"/>
            <w:tcBorders/>
          </w:tcPr>
          <w:p>
            <w:pPr>
              <w:pStyle w:val="TableContents"/>
              <w:bidi w:val="0"/>
              <w:spacing w:before="0" w:after="0"/>
              <w:jc w:val="left"/>
              <w:rPr>
                <w:rFonts w:ascii="arial" w:hAnsi="arial"/>
                <w:sz w:val="20"/>
              </w:rPr>
            </w:pPr>
            <w:r>
              <w:rPr>
                <w:rFonts w:ascii="arial" w:hAnsi="arial"/>
                <w:sz w:val="20"/>
              </w:rPr>
              <w:t>Net cash (used in) provided by investing activities</w:t>
            </w:r>
          </w:p>
        </w:tc>
        <w:tc>
          <w:tcPr>
            <w:tcW w:w="3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(53,933</w:t>
            </w:r>
          </w:p>
        </w:tc>
        <w:tc>
          <w:tcPr>
            <w:tcW w:w="20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46,176</w:t>
            </w:r>
          </w:p>
        </w:tc>
        <w:tc>
          <w:tcPr>
            <w:tcW w:w="159" w:type="dxa"/>
            <w:tcBorders/>
            <w:vAlign w:val="bottom"/>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3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113,417</w:t>
            </w:r>
          </w:p>
        </w:tc>
        <w:tc>
          <w:tcPr>
            <w:tcW w:w="20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10,836</w:t>
            </w:r>
          </w:p>
        </w:tc>
        <w:tc>
          <w:tcPr>
            <w:tcW w:w="159" w:type="dxa"/>
            <w:tcBorders/>
            <w:shd w:fill="CCEEFF" w:val="clear"/>
            <w:vAlign w:val="bottom"/>
          </w:tcPr>
          <w:p>
            <w:pPr>
              <w:pStyle w:val="TableContents"/>
              <w:bidi w:val="0"/>
              <w:spacing w:before="0" w:after="283"/>
              <w:jc w:val="left"/>
              <w:rPr/>
            </w:pPr>
            <w:r>
              <w:rPr/>
              <w:t> </w:t>
            </w:r>
          </w:p>
        </w:tc>
      </w:tr>
      <w:tr>
        <w:trPr/>
        <w:tc>
          <w:tcPr>
            <w:tcW w:w="6737" w:type="dxa"/>
            <w:tcBorders/>
          </w:tcPr>
          <w:p>
            <w:pPr>
              <w:pStyle w:val="TableContents"/>
              <w:bidi w:val="0"/>
              <w:spacing w:before="0" w:after="0"/>
              <w:jc w:val="left"/>
              <w:rPr>
                <w:rFonts w:ascii="arial" w:hAnsi="arial"/>
                <w:sz w:val="20"/>
              </w:rPr>
            </w:pPr>
            <w:r>
              <w:rPr>
                <w:rFonts w:ascii="arial" w:hAnsi="arial"/>
                <w:sz w:val="20"/>
              </w:rPr>
              <w:t>Effect of exchange rate changes on cash and cash equivalents, and restricted cash</w:t>
            </w:r>
          </w:p>
        </w:tc>
        <w:tc>
          <w:tcPr>
            <w:tcW w:w="3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w:t>
            </w:r>
          </w:p>
        </w:tc>
        <w:tc>
          <w:tcPr>
            <w:tcW w:w="20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(172</w:t>
            </w:r>
          </w:p>
        </w:tc>
        <w:tc>
          <w:tcPr>
            <w:tcW w:w="159" w:type="dxa"/>
            <w:tcBorders/>
            <w:vAlign w:val="bottom"/>
          </w:tcPr>
          <w:p>
            <w:pPr>
              <w:pStyle w:val="TableContents"/>
              <w:bidi w:val="0"/>
              <w:spacing w:before="0" w:after="283"/>
              <w:jc w:val="left"/>
              <w:rPr/>
            </w:pPr>
            <w:r>
              <w:rPr/>
              <w:t>) </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746"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arial" w:hAnsi="arial"/>
                <w:sz w:val="20"/>
              </w:rPr>
            </w:pPr>
            <w:r>
              <w:rPr>
                <w:rFonts w:ascii="arial" w:hAnsi="arial"/>
                <w:sz w:val="20"/>
              </w:rPr>
              <w:t>Net increase in cash</w:t>
            </w:r>
          </w:p>
        </w:tc>
        <w:tc>
          <w:tcPr>
            <w:tcW w:w="3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4,269</w:t>
            </w:r>
          </w:p>
        </w:tc>
        <w:tc>
          <w:tcPr>
            <w:tcW w:w="20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3,232</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Operating activities </w:t>
      </w:r>
    </w:p>
    <w:p>
      <w:pPr>
        <w:pStyle w:val="TextBody"/>
        <w:bidi w:val="0"/>
        <w:spacing w:before="160" w:after="0"/>
        <w:jc w:val="left"/>
        <w:rPr>
          <w:rFonts w:ascii="arial" w:hAnsi="arial"/>
          <w:sz w:val="20"/>
        </w:rPr>
      </w:pPr>
      <w:r>
        <w:rPr>
          <w:rFonts w:ascii="arial" w:hAnsi="arial"/>
          <w:sz w:val="20"/>
        </w:rPr>
        <w:t xml:space="preserve">Net cash used in operating activities was $53.6 million during the year ended December 31, 2025. This was due in part to a loss from operations of $29.8 million, adjusted for non-cash items, including depreciation and amortization expense of $3.9 million, stock-based compensation expense of $2.9 million and non-cash operating lease costs of $1.9 million. Net cash used in operating activities also reflected net cash outflows of $32.6 million from changes in operating assets and liabilities associated with higher levels of working capital necessary to support the growth of our operations. Inventory increased by $23.8 million (comprised of a $4.6 million increase in instruments and related components and a $19.2 million increase in consumable kits and related materials). Total inventory as of December 31, 2025 was $38.5 million (comprised of $7.2 million in instruments and related components and $31.3 million in consumable kits and related materials). In addition, there was an increase in prepaid expenses and other current assets of $6.4 million, an increase in accounts receivable of $5.9 million and a decrease in operating lease liabilities of $1.9 million. These decreases in cash flows were partially offset by an increase in accrued expenses and other liabilities of $6.4 million. </w:t>
      </w:r>
    </w:p>
    <w:p>
      <w:pPr>
        <w:pStyle w:val="TextBody"/>
        <w:bidi w:val="0"/>
        <w:spacing w:before="160" w:after="0"/>
        <w:jc w:val="left"/>
        <w:rPr>
          <w:rFonts w:ascii="arial" w:hAnsi="arial"/>
          <w:sz w:val="20"/>
        </w:rPr>
      </w:pPr>
      <w:r>
        <w:rPr>
          <w:rFonts w:ascii="arial" w:hAnsi="arial"/>
          <w:sz w:val="20"/>
        </w:rPr>
        <w:t xml:space="preserve">Net cash used in operating activities was $55.2 million during the year ended December 31, 2024. This was primarily due to a loss from operations of $47.1 million, adjusted for non-cash items, including depreciation and amortization expense of $3.2 million, net accretion and amortization of premiums and discounts on investments of $1.9 million, non-cash operating lease costs of $1.6 million and stock-based compensation expense of $0.9 million. Net cash used in operating activities also reflected net cash outflows of $12.0 million from changes in operating assets and liabilities associated with higher levels of working capital necessary to support the growth in our operations. This is primarily the result of an increase in inventory of $8.8 million, an increase in accounts receivable of $4.7 million, an increase in prepaid expenses and other current assets of $2.2 million and a decrease in operating lease liabilities of $1.6 million. These decreases in cash flows were partially offset by an increase in accounts payable of $2.9 million and an increase in accrued expenses and other current liabilities of $3.5 million. </w:t>
      </w:r>
    </w:p>
    <w:p>
      <w:pPr>
        <w:pStyle w:val="TextBody"/>
        <w:bidi w:val="0"/>
        <w:spacing w:before="320" w:after="0"/>
        <w:jc w:val="left"/>
        <w:rPr>
          <w:rFonts w:ascii="arial" w:hAnsi="arial"/>
          <w:b/>
          <w:i/>
          <w:sz w:val="20"/>
        </w:rPr>
      </w:pPr>
      <w:r>
        <w:rPr>
          <w:rFonts w:ascii="arial" w:hAnsi="arial"/>
          <w:b/>
          <w:i/>
          <w:sz w:val="20"/>
        </w:rPr>
        <w:t xml:space="preserve">Investing activities </w:t>
      </w:r>
    </w:p>
    <w:p>
      <w:pPr>
        <w:pStyle w:val="TextBody"/>
        <w:bidi w:val="0"/>
        <w:spacing w:before="160" w:after="0"/>
        <w:jc w:val="left"/>
        <w:rPr>
          <w:rFonts w:ascii="arial" w:hAnsi="arial"/>
          <w:sz w:val="20"/>
        </w:rPr>
      </w:pPr>
      <w:r>
        <w:rPr>
          <w:rFonts w:ascii="arial" w:hAnsi="arial"/>
          <w:sz w:val="20"/>
        </w:rPr>
        <w:t xml:space="preserve">Net cash provided by investing activities was $46.2 million during the year ended December 31, 2025. This was primarily due to maturities of short-term investments of $57.5 million, partially offset by purchases of property and equipment of $5.4 million, purchases of short-term investments of $4.9 million and capitalized software development costs of $1.0 million. </w:t>
      </w:r>
    </w:p>
    <w:p>
      <w:pPr>
        <w:pStyle w:val="TextBody"/>
        <w:bidi w:val="0"/>
        <w:spacing w:before="160" w:after="0"/>
        <w:jc w:val="left"/>
        <w:rPr>
          <w:rFonts w:ascii="arial" w:hAnsi="arial"/>
          <w:sz w:val="20"/>
        </w:rPr>
      </w:pPr>
      <w:r>
        <w:rPr>
          <w:rFonts w:ascii="arial" w:hAnsi="arial"/>
          <w:sz w:val="20"/>
        </w:rPr>
        <w:t xml:space="preserve">Net cash used in investing activities was $53.9 million during the year ended December 31, 2024. This was primarily due to purchases of short-term investments of $92.5 million, purchases of property and equipment of $2.9 million and capitalized software development costs of $0.4 million, partially offset by maturities of short-term investments of $36.0 million and sales of short-term investments of $6.0 million. </w:t>
      </w:r>
    </w:p>
    <w:p>
      <w:pPr>
        <w:pStyle w:val="TextBody"/>
        <w:bidi w:val="0"/>
        <w:spacing w:before="320" w:after="0"/>
        <w:jc w:val="left"/>
        <w:rPr>
          <w:rFonts w:ascii="arial" w:hAnsi="arial"/>
          <w:b/>
          <w:i/>
          <w:sz w:val="20"/>
        </w:rPr>
      </w:pPr>
      <w:r>
        <w:rPr>
          <w:rFonts w:ascii="arial" w:hAnsi="arial"/>
          <w:b/>
          <w:i/>
          <w:sz w:val="20"/>
        </w:rPr>
        <w:t xml:space="preserve">Financing activities </w:t>
      </w:r>
    </w:p>
    <w:p>
      <w:pPr>
        <w:pStyle w:val="TextBody"/>
        <w:bidi w:val="0"/>
        <w:spacing w:before="160" w:after="0"/>
        <w:jc w:val="left"/>
        <w:rPr>
          <w:rFonts w:ascii="arial" w:hAnsi="arial"/>
          <w:sz w:val="20"/>
        </w:rPr>
      </w:pPr>
      <w:r>
        <w:rPr>
          <w:rFonts w:ascii="arial" w:hAnsi="arial"/>
          <w:sz w:val="20"/>
        </w:rPr>
        <w:t xml:space="preserve">Net cash provided by financing activities was $10.8 million during the year ended December 31, 2025. This was primarily due to borrowings on term loan of $10.0 million and proceeds from issuance of common stock upon exercise of stock options of $1.5 million, partially offset by payment of deferred offering costs of $0.6 million. </w:t>
      </w:r>
    </w:p>
    <w:p>
      <w:pPr>
        <w:pStyle w:val="TextBody"/>
        <w:bidi w:val="0"/>
        <w:spacing w:before="0" w:after="0"/>
        <w:jc w:val="left"/>
        <w:rPr>
          <w:rFonts w:ascii="arial" w:hAnsi="arial"/>
          <w:sz w:val="20"/>
        </w:rPr>
      </w:pPr>
      <w:r>
        <w:rPr>
          <w:rFonts w:ascii="arial" w:hAnsi="arial"/>
          <w:sz w:val="20"/>
        </w:rPr>
        <w:t xml:space="preserve">Net cash provided by financing activities was $113.4 million during the year ended December 31, 2024, and consisted primarily of proceeds from the issuance of Series C convertible preferred stock of $127.5 million and proceeds from issuance of common stock upon exercise of stock options of $0.9 million, partially offset by the principal payment of debts of $15.0 million.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Qualitative and quantitative disclosures about market risk </w:t>
      </w:r>
    </w:p>
    <w:p>
      <w:pPr>
        <w:pStyle w:val="TextBody"/>
        <w:bidi w:val="0"/>
        <w:spacing w:before="160" w:after="0"/>
        <w:jc w:val="left"/>
        <w:rPr>
          <w:rFonts w:ascii="arial" w:hAnsi="arial"/>
          <w:sz w:val="20"/>
        </w:rPr>
      </w:pPr>
      <w:r>
        <w:rPr>
          <w:rFonts w:ascii="arial" w:hAnsi="arial"/>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TextBody"/>
        <w:bidi w:val="0"/>
        <w:spacing w:before="320" w:after="0"/>
        <w:jc w:val="left"/>
        <w:rPr>
          <w:rFonts w:ascii="arial" w:hAnsi="arial"/>
          <w:b/>
          <w:i/>
          <w:sz w:val="20"/>
        </w:rPr>
      </w:pPr>
      <w:r>
        <w:rPr>
          <w:rFonts w:ascii="arial" w:hAnsi="arial"/>
          <w:b/>
          <w:i/>
          <w:sz w:val="20"/>
        </w:rPr>
        <w:t xml:space="preserve">Interest rate risk </w:t>
      </w:r>
    </w:p>
    <w:p>
      <w:pPr>
        <w:pStyle w:val="TextBody"/>
        <w:bidi w:val="0"/>
        <w:spacing w:before="160" w:after="0"/>
        <w:jc w:val="left"/>
        <w:rPr>
          <w:rFonts w:ascii="arial" w:hAnsi="arial"/>
          <w:sz w:val="20"/>
        </w:rPr>
      </w:pPr>
      <w:r>
        <w:rPr>
          <w:rFonts w:ascii="arial" w:hAnsi="arial"/>
          <w:sz w:val="20"/>
        </w:rPr>
        <w:t xml:space="preserve">As of December 31, 2025, we had unrestricted cash and cash equivalents of $30.0 million, which consisted primarily of bank deposits and money market funds. Our historical interest income has not fluctuated significantly. A hypothetical 10% change in interest rates would have not had a material impact on our consolidated financial statements included in this prospectus. We do not enter into investments for trading or speculative purposes and have not used any derivative financial instruments to manage our interest rate risk exposure. </w:t>
      </w:r>
    </w:p>
    <w:p>
      <w:pPr>
        <w:pStyle w:val="TextBody"/>
        <w:bidi w:val="0"/>
        <w:spacing w:before="320" w:after="0"/>
        <w:jc w:val="left"/>
        <w:rPr>
          <w:rFonts w:ascii="arial" w:hAnsi="arial"/>
          <w:b/>
          <w:i/>
          <w:sz w:val="20"/>
        </w:rPr>
      </w:pPr>
      <w:r>
        <w:rPr>
          <w:rFonts w:ascii="arial" w:hAnsi="arial"/>
          <w:b/>
          <w:i/>
          <w:sz w:val="20"/>
        </w:rPr>
        <w:t xml:space="preserve">Foreign currency exchange risk </w:t>
      </w:r>
    </w:p>
    <w:p>
      <w:pPr>
        <w:pStyle w:val="TextBody"/>
        <w:bidi w:val="0"/>
        <w:spacing w:before="160" w:after="0"/>
        <w:jc w:val="left"/>
        <w:rPr>
          <w:rFonts w:ascii="arial" w:hAnsi="arial"/>
          <w:sz w:val="20"/>
        </w:rPr>
      </w:pPr>
      <w:r>
        <w:rPr>
          <w:rFonts w:ascii="arial" w:hAnsi="arial"/>
          <w:sz w:val="20"/>
        </w:rPr>
        <w:t xml:space="preserve">Our reporting currency is the U.S. dollar and the functional currency of each of our subsidiaries is its local currency. Historically, most of our revenue has been denominated in U.S. dollars, although we have sold our products and services in local currency outside of the United States, principally the euro. For the years ended December 31, 2024 and 2025 approximately 12% and 26%, respectively, of our sales were denominated in currencies other than U.S. dollars. In addition, because we conduct business in currencies other than U.S. dollars, but report our results of operations in U.S. dollars, we also face remeasurement exposure to fluctuations in currency exchange rates. We do not currently maintain a program to hedge exposures to non-U.S. dollar currencies. We do not believe that an immediate 10% increase or decrease in the relative value of the U.S. dollar to other currencies would have a material effect on our operating results. </w:t>
      </w:r>
    </w:p>
    <w:p>
      <w:pPr>
        <w:pStyle w:val="TextBody"/>
        <w:bidi w:val="0"/>
        <w:spacing w:before="320" w:after="0"/>
        <w:jc w:val="left"/>
        <w:rPr>
          <w:rFonts w:ascii="arial" w:hAnsi="arial"/>
          <w:b/>
          <w:sz w:val="24"/>
        </w:rPr>
      </w:pPr>
      <w:r>
        <w:rPr>
          <w:rFonts w:ascii="arial" w:hAnsi="arial"/>
          <w:b/>
          <w:sz w:val="24"/>
        </w:rPr>
        <w:t xml:space="preserve">Critical accounting estimates </w:t>
      </w:r>
    </w:p>
    <w:p>
      <w:pPr>
        <w:pStyle w:val="TextBody"/>
        <w:bidi w:val="0"/>
        <w:spacing w:before="160" w:after="0"/>
        <w:jc w:val="left"/>
        <w:rPr>
          <w:rFonts w:ascii="arial" w:hAnsi="arial"/>
          <w:sz w:val="20"/>
        </w:rPr>
      </w:pPr>
      <w:r>
        <w:rPr>
          <w:rFonts w:ascii="arial" w:hAnsi="arial"/>
          <w:sz w:val="20"/>
        </w:rPr>
        <w:t xml:space="preserve">The following discussion supplements the descriptions of our accounting policies contained in Note 2 to our consolidated financial statements included elsewhere in this prospectus. Our financial statements and related notes included elsewhere in this prospectus are prepared in accordance with generally accepted accounting principles in the United States (“U.S. GAAP”). The preparation of these consolidated financial statements requires us to make estimates and assumptions that impact the reported amounts of assets, liabilities, revenues, expenses, and related disclosures. We continually evaluate these estimates and assumptions, basing them on historical experience and various other factors we consider reasonable under the circumstances. Actual results may differ from these estimates due to different assumptions or conditions. </w:t>
      </w:r>
    </w:p>
    <w:p>
      <w:pPr>
        <w:pStyle w:val="TextBody"/>
        <w:bidi w:val="0"/>
        <w:spacing w:before="160" w:after="0"/>
        <w:jc w:val="left"/>
        <w:rPr>
          <w:rFonts w:ascii="arial" w:hAnsi="arial"/>
          <w:sz w:val="20"/>
        </w:rPr>
      </w:pPr>
      <w:r>
        <w:rPr>
          <w:rFonts w:ascii="arial" w:hAnsi="arial"/>
          <w:sz w:val="20"/>
        </w:rPr>
        <w:t xml:space="preserve">Critical estimates are those that we consider the most important to the portrayal of our balance sheet and results of operations because they require our most difficult, subjective or complex judgments, often as a result of the need to make estimates about the effects of matters that are inherently uncertain. </w:t>
      </w:r>
    </w:p>
    <w:p>
      <w:pPr>
        <w:pStyle w:val="TextBody"/>
        <w:bidi w:val="0"/>
        <w:spacing w:before="320" w:after="0"/>
        <w:jc w:val="left"/>
        <w:rPr>
          <w:rFonts w:ascii="arial" w:hAnsi="arial"/>
          <w:b/>
          <w:i/>
          <w:sz w:val="20"/>
        </w:rPr>
      </w:pPr>
      <w:r>
        <w:rPr>
          <w:rFonts w:ascii="arial" w:hAnsi="arial"/>
          <w:b/>
          <w:i/>
          <w:sz w:val="20"/>
        </w:rPr>
        <w:t xml:space="preserve">Inventory valuation </w:t>
      </w:r>
    </w:p>
    <w:p>
      <w:pPr>
        <w:pStyle w:val="TextBody"/>
        <w:bidi w:val="0"/>
        <w:spacing w:before="160" w:after="0"/>
        <w:jc w:val="left"/>
        <w:rPr>
          <w:rFonts w:ascii="arial" w:hAnsi="arial"/>
          <w:sz w:val="20"/>
        </w:rPr>
      </w:pPr>
      <w:r>
        <w:rPr>
          <w:rFonts w:ascii="arial" w:hAnsi="arial"/>
          <w:sz w:val="20"/>
        </w:rPr>
        <w:t xml:space="preserve">We record inventory at the lower of cost, determined using the first-in, first-out method, or net realizable value. We use judgment to analyze and determine if inventory is obsolete, slow-moving, unsalable or otherwise carried above the net realizable value and frequently review such determinations. We reduce the carrying value of inventory carried above the net realizable value in the period that it is first recognized by using a number of factors including product expiration dates, open and unfulfilled orders and sales forecasts. Such adjustments establish a new cost basis which is maintained in future years even if certain circumstances suggest that the inventory is recoverable in subsequent periods. Costs associated with the write-down of inventory are recorded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 product cost of revenue on our consolidated statements of operations. If actual market conditions are less favorable than anticipated, additional inventory write-downs could be required. </w:t>
      </w:r>
    </w:p>
    <w:p>
      <w:pPr>
        <w:pStyle w:val="TextBody"/>
        <w:bidi w:val="0"/>
        <w:spacing w:before="320" w:after="0"/>
        <w:jc w:val="left"/>
        <w:rPr>
          <w:rFonts w:ascii="arial" w:hAnsi="arial"/>
          <w:b/>
          <w:i/>
          <w:sz w:val="20"/>
        </w:rPr>
      </w:pPr>
      <w:r>
        <w:rPr>
          <w:rFonts w:ascii="arial" w:hAnsi="arial"/>
          <w:b/>
          <w:i/>
          <w:sz w:val="20"/>
        </w:rPr>
        <w:t xml:space="preserve">Stock-based compensation </w:t>
      </w:r>
    </w:p>
    <w:p>
      <w:pPr>
        <w:pStyle w:val="TextBody"/>
        <w:bidi w:val="0"/>
        <w:spacing w:before="160" w:after="0"/>
        <w:jc w:val="left"/>
        <w:rPr>
          <w:rFonts w:ascii="arial" w:hAnsi="arial"/>
          <w:sz w:val="20"/>
        </w:rPr>
      </w:pPr>
      <w:r>
        <w:rPr>
          <w:rFonts w:ascii="arial" w:hAnsi="arial"/>
          <w:sz w:val="20"/>
        </w:rPr>
        <w:t xml:space="preserve">We generally recognize compensation costs related to stock-based awards to employees and non-employees on a straight-line basis over the requisite service period of the award based on the fair value of equity awards on the date of grant. Forfeitures are recognized as they occur. </w:t>
      </w:r>
    </w:p>
    <w:p>
      <w:pPr>
        <w:pStyle w:val="TextBody"/>
        <w:bidi w:val="0"/>
        <w:spacing w:before="160" w:after="0"/>
        <w:jc w:val="left"/>
        <w:rPr>
          <w:rFonts w:ascii="arial" w:hAnsi="arial"/>
          <w:sz w:val="20"/>
        </w:rPr>
      </w:pPr>
      <w:r>
        <w:rPr>
          <w:rFonts w:ascii="arial" w:hAnsi="arial"/>
          <w:sz w:val="20"/>
        </w:rPr>
        <w:t xml:space="preserve">We estimate the fair value of share-based payment awards on the grant date using the Black-Scholes option-pricing model which requires input of several subjective assumptions. These variables include the per share fair value of the underlying common stock, exercise price, expected term, risk-free interest rate, expected annual dividend yield and expected stock price volatility over the expected term. Refer to the subsection titled “Common Stock Valuation” below for a discussion of the estimated fair value of our common stock. For all stock options granted, we calculated the expected term using the simplified method. As we are privately held and do not have any trading history for our common stock, the expected volatility was estimated using the historical volatility of the stock price of similar publicly traded peer companies. The risk-free interest rate is based on the yield available on U.S. Treasury zero-coupon issues similar in duration to the expected term of the equity-settled award. We utilize an expected dividend yield of zero as we have never paid nor have any plans to pay dividends on our common stock. </w:t>
      </w:r>
    </w:p>
    <w:p>
      <w:pPr>
        <w:pStyle w:val="TextBody"/>
        <w:bidi w:val="0"/>
        <w:spacing w:before="160" w:after="0"/>
        <w:jc w:val="left"/>
        <w:rPr>
          <w:rFonts w:ascii="arial" w:hAnsi="arial"/>
          <w:sz w:val="20"/>
        </w:rPr>
      </w:pPr>
      <w:r>
        <w:rPr>
          <w:rFonts w:ascii="arial" w:hAnsi="arial"/>
          <w:sz w:val="20"/>
        </w:rPr>
        <w:t xml:space="preserve">We will continue to use judgment in evaluating the assumptions utilized for our stock-based compensation expense calculations on a prospective basis. Such assumptions involve inherent uncertainties and the application of significant judgment. As a result, if factors or expected outcomes change and we use significantly different assumptions or estimates, our stock-based compensation expenses could be materially different. See Note 9 to our audited consolidated financial statements included elsewhere in this prospectus for more information concerning specific assumptions we used in applying the Black-Scholes option pricing model to determine the estimated fair value of our stock options. </w:t>
      </w:r>
    </w:p>
    <w:p>
      <w:pPr>
        <w:pStyle w:val="TextBody"/>
        <w:bidi w:val="0"/>
        <w:spacing w:before="160" w:after="0"/>
        <w:jc w:val="left"/>
        <w:rPr>
          <w:rFonts w:ascii="arial" w:hAnsi="arial"/>
          <w:sz w:val="20"/>
        </w:rPr>
      </w:pPr>
      <w:r>
        <w:rPr>
          <w:rFonts w:ascii="arial" w:hAnsi="arial"/>
          <w:sz w:val="20"/>
        </w:rPr>
        <w:t xml:space="preserve">Stock-based compensation expense was $0.9 million and $2.9 million for the years ended December 31, 2024 and 2025, respectively. As of December 31, 2025, we had $9.8 million of total unrecognized stock-based compensation expense related to stock options, which we expect to recognize over a weighted-average period of 3.1 years. We expect to continue to grant equity-based awards in the future, and to the extent that we do, our stock-based compensation expense recognized in future periods will likely increase. </w:t>
      </w:r>
    </w:p>
    <w:p>
      <w:pPr>
        <w:pStyle w:val="TextBody"/>
        <w:bidi w:val="0"/>
        <w:spacing w:before="160" w:after="0"/>
        <w:jc w:val="left"/>
        <w:rPr>
          <w:rFonts w:ascii="arial" w:hAnsi="arial"/>
          <w:sz w:val="20"/>
        </w:rPr>
      </w:pPr>
      <w:r>
        <w:rPr>
          <w:rFonts w:ascii="arial" w:hAnsi="arial"/>
          <w:sz w:val="20"/>
        </w:rPr>
        <w:t xml:space="preserve">The aggregate intrinsic value of all outstanding options as of December 31, 2025, was approximately $80.7 million, based on the initial public offering price of $17.00 per share, of which approximately $29.2 million is related to vested options and approximately $51.5 million is related to unvested options. </w:t>
      </w:r>
    </w:p>
    <w:p>
      <w:pPr>
        <w:pStyle w:val="TextBody"/>
        <w:bidi w:val="0"/>
        <w:spacing w:before="320" w:after="0"/>
        <w:jc w:val="left"/>
        <w:rPr>
          <w:rFonts w:ascii="arial" w:hAnsi="arial"/>
          <w:b/>
          <w:i/>
          <w:sz w:val="20"/>
        </w:rPr>
      </w:pPr>
      <w:r>
        <w:rPr>
          <w:rFonts w:ascii="arial" w:hAnsi="arial"/>
          <w:b/>
          <w:i/>
          <w:sz w:val="20"/>
        </w:rPr>
        <w:t xml:space="preserve">Common stock valuation </w:t>
      </w:r>
    </w:p>
    <w:p>
      <w:pPr>
        <w:pStyle w:val="TextBody"/>
        <w:bidi w:val="0"/>
        <w:spacing w:before="160" w:after="0"/>
        <w:jc w:val="left"/>
        <w:rPr>
          <w:rFonts w:ascii="arial" w:hAnsi="arial"/>
          <w:sz w:val="20"/>
        </w:rPr>
      </w:pPr>
      <w:r>
        <w:rPr>
          <w:rFonts w:ascii="arial" w:hAnsi="arial"/>
          <w:sz w:val="20"/>
        </w:rPr>
        <w:t xml:space="preserve">As there has been no public market for our common stock to date, the estimated fair value of our common stock and underlying stock options has been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Valuation of Privately-Held-Company Equity Securities Issued as Compensation (“AICPA Practice Aid”). In making these determinations, the Board considers a broad range of objective and subjective factors, including results of recent independent 409A valuations; prices and terms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recent preferred stock financings, and the rights and preferences of those securities relative to common; operational progress, business developments, and financial condition; analysis of recent IPOs and trading performance of comparable publicly-traded companies; trends and conditions in the life sciences sector and overall capital markets; discounts for lack of marketability to reflect absence of liquidity; and the likelihood and estimated timing of a potential liquidity event (such as an IPO or acquisition). </w:t>
      </w:r>
    </w:p>
    <w:p>
      <w:pPr>
        <w:pStyle w:val="TextBody"/>
        <w:bidi w:val="0"/>
        <w:spacing w:before="160" w:after="0"/>
        <w:jc w:val="left"/>
        <w:rPr>
          <w:rFonts w:ascii="arial" w:hAnsi="arial"/>
          <w:sz w:val="20"/>
        </w:rPr>
      </w:pPr>
      <w:r>
        <w:rPr>
          <w:rFonts w:ascii="arial" w:hAnsi="arial"/>
          <w:sz w:val="20"/>
        </w:rPr>
        <w:t xml:space="preserve">For our valuations performed prior to January 16, 2025, our board of directors determined the market approach and option pricing method (“OPM”) were the most appropriate methods for determining the fair value of our common stock given our stage of development. Under the market approach, we estimated the value based upon our prior sales of convertible preferred stock to unrelated third parties. We then applied these derived multiples or values to our financial metrics to estimate our market value. </w:t>
      </w:r>
    </w:p>
    <w:p>
      <w:pPr>
        <w:pStyle w:val="TextBody"/>
        <w:bidi w:val="0"/>
        <w:spacing w:before="160" w:after="0"/>
        <w:jc w:val="left"/>
        <w:rPr>
          <w:rFonts w:ascii="arial" w:hAnsi="arial"/>
          <w:sz w:val="20"/>
        </w:rPr>
      </w:pPr>
      <w:r>
        <w:rPr>
          <w:rFonts w:ascii="arial" w:hAnsi="arial"/>
          <w:sz w:val="20"/>
        </w:rPr>
        <w:t xml:space="preserve">The allocation of these enterprise values to each part of our capital structure, including our common stock and convertible preferred stock, was done utilizing the OPM. The OPM treats the rights of the holders of preferred 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The OPM derives the implied equity value of a company from a recent transaction involving our own securities issued on an arms-length basis. </w:t>
      </w:r>
    </w:p>
    <w:p>
      <w:pPr>
        <w:pStyle w:val="TextBody"/>
        <w:bidi w:val="0"/>
        <w:spacing w:before="160" w:after="0"/>
        <w:jc w:val="left"/>
        <w:rPr>
          <w:rFonts w:ascii="arial" w:hAnsi="arial"/>
          <w:sz w:val="20"/>
        </w:rPr>
      </w:pPr>
      <w:r>
        <w:rPr>
          <w:rFonts w:ascii="arial" w:hAnsi="arial"/>
          <w:sz w:val="20"/>
        </w:rPr>
        <w:t xml:space="preserve">For our valuations performed since January 16, 2025, our board of directors determined the hybrid method was the most appropriate method for determining the fair value of our common stock given our stage of development. The hybrid method is a hybrid between the probability-weighted expected returns method (“PWERM”) and the OPM. Using the PWERM, the enterprise value under various exit scenarios including an initial public offering (“IPO”) and staying private that considered our estimate of the timing of each scenario and were weighted based on our estimate of the probability of each event occurring. Our equity value under the IPO scenario was estimated using the market approach based on comparable public companies. The equity value under the IPO scenario was allocated to our capital stock using an IPO scenario analysis that contemplates the timing, size, valuation, and probability of an IPO event in the future. The stay private scenario estimated our equity value using a market approach based on the second tranche closing of our convertible preferred stock. The equity value was then allocated to our capital stock based on the OPM. The equity value under all scenarios was reduced by a discount for lack of marketability. </w:t>
      </w:r>
    </w:p>
    <w:p>
      <w:pPr>
        <w:pStyle w:val="TextBody"/>
        <w:bidi w:val="0"/>
        <w:spacing w:before="160" w:after="0"/>
        <w:jc w:val="left"/>
        <w:rPr>
          <w:rFonts w:ascii="arial" w:hAnsi="arial"/>
          <w:sz w:val="20"/>
        </w:rPr>
      </w:pPr>
      <w:r>
        <w:rPr>
          <w:rFonts w:ascii="arial" w:hAnsi="arial"/>
          <w:sz w:val="20"/>
        </w:rPr>
        <w:t xml:space="preserve">If different assumptions had been used or if different events had occurred, our reported expense for stock-based compensation and related equity transactions could have been materially different. Changes in judgment or assumptions—such as market conditions, company progress, or shifts in anticipated liquidity—may result in significant variances in estimated fair value, materially affecting stock-based compensation expense and results of operations. </w:t>
      </w:r>
    </w:p>
    <w:p>
      <w:pPr>
        <w:pStyle w:val="TextBody"/>
        <w:bidi w:val="0"/>
        <w:spacing w:before="160" w:after="0"/>
        <w:jc w:val="left"/>
        <w:rPr>
          <w:rFonts w:ascii="arial" w:hAnsi="arial"/>
          <w:sz w:val="20"/>
        </w:rPr>
      </w:pPr>
      <w:r>
        <w:rPr>
          <w:rFonts w:ascii="arial" w:hAnsi="arial"/>
          <w:sz w:val="20"/>
        </w:rPr>
        <w:t xml:space="preserve">For valuations after the closing of this offering, the fair value of each share of underlying common stock will be based on the closing price of our common stock as reported on the date of grant on the primary stock exchange on which our common stock is traded. </w:t>
      </w:r>
    </w:p>
    <w:p>
      <w:pPr>
        <w:pStyle w:val="TextBody"/>
        <w:bidi w:val="0"/>
        <w:spacing w:before="320" w:after="0"/>
        <w:jc w:val="left"/>
        <w:rPr>
          <w:rFonts w:ascii="arial" w:hAnsi="arial"/>
          <w:b/>
          <w:sz w:val="24"/>
        </w:rPr>
      </w:pPr>
      <w:r>
        <w:rPr>
          <w:rFonts w:ascii="arial" w:hAnsi="arial"/>
          <w:b/>
          <w:sz w:val="24"/>
        </w:rPr>
        <w:t xml:space="preserve">Recent accounting pronouncements </w:t>
      </w:r>
    </w:p>
    <w:p>
      <w:pPr>
        <w:pStyle w:val="TextBody"/>
        <w:bidi w:val="0"/>
        <w:spacing w:before="160" w:after="0"/>
        <w:jc w:val="left"/>
        <w:rPr>
          <w:rFonts w:ascii="arial" w:hAnsi="arial"/>
          <w:sz w:val="20"/>
        </w:rPr>
      </w:pPr>
      <w:r>
        <w:rPr>
          <w:rFonts w:ascii="arial" w:hAnsi="arial"/>
          <w:sz w:val="20"/>
        </w:rPr>
        <w:t xml:space="preserve">A description of recently issued accounting pronouncements that may potentially impact our financial position, results of operations, and cash flows is included in Note 2 to our audited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Off-balance sheet arrangements </w:t>
      </w:r>
    </w:p>
    <w:p>
      <w:pPr>
        <w:pStyle w:val="TextBody"/>
        <w:bidi w:val="0"/>
        <w:spacing w:before="160" w:after="0"/>
        <w:jc w:val="left"/>
        <w:rPr>
          <w:rFonts w:ascii="arial" w:hAnsi="arial"/>
          <w:sz w:val="20"/>
        </w:rPr>
      </w:pPr>
      <w:r>
        <w:rPr>
          <w:rFonts w:ascii="arial" w:hAnsi="arial"/>
          <w:sz w:val="20"/>
        </w:rPr>
        <w:t xml:space="preserve">Since our inception, we have not engaged in any off-balance sheet arrangements, as defined in the rules and regulations of the SEC. </w:t>
      </w:r>
    </w:p>
    <w:p>
      <w:pPr>
        <w:pStyle w:val="TextBody"/>
        <w:bidi w:val="0"/>
        <w:spacing w:before="320" w:after="0"/>
        <w:jc w:val="left"/>
        <w:rPr>
          <w:rFonts w:ascii="arial" w:hAnsi="arial"/>
          <w:b/>
          <w:sz w:val="24"/>
        </w:rPr>
      </w:pPr>
      <w:r>
        <w:rPr>
          <w:rFonts w:ascii="arial" w:hAnsi="arial"/>
          <w:b/>
          <w:sz w:val="24"/>
        </w:rPr>
        <w:t xml:space="preserve">Emerging growth company and smaller reporting company status </w:t>
      </w:r>
    </w:p>
    <w:p>
      <w:pPr>
        <w:pStyle w:val="TextBody"/>
        <w:bidi w:val="0"/>
        <w:spacing w:before="160" w:after="0"/>
        <w:jc w:val="left"/>
        <w:rPr>
          <w:rFonts w:ascii="arial" w:hAnsi="arial"/>
          <w:sz w:val="20"/>
        </w:rPr>
      </w:pPr>
      <w:r>
        <w:rPr>
          <w:rFonts w:ascii="arial" w:hAnsi="arial"/>
          <w:sz w:val="20"/>
        </w:rPr>
        <w:t xml:space="preserve">We are an “emerging growth company” as defined in the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 In particular, in this prospectus, we have provided only two years of audited consolidated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60" w:after="0"/>
        <w:jc w:val="left"/>
        <w:rPr>
          <w:rFonts w:ascii="arial" w:hAnsi="arial"/>
          <w:sz w:val="20"/>
        </w:rPr>
      </w:pPr>
      <w:r>
        <w:rPr>
          <w:rFonts w:ascii="arial" w:hAnsi="arial"/>
          <w:sz w:val="2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this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160" w:after="0"/>
        <w:jc w:val="left"/>
        <w:rPr>
          <w:rFonts w:ascii="arial" w:hAnsi="arial"/>
          <w:sz w:val="20"/>
        </w:rPr>
      </w:pPr>
      <w:r>
        <w:rPr>
          <w:rFonts w:ascii="arial" w:hAnsi="arial"/>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Business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5" w:name="toc39680_10"/>
      <w:bookmarkEnd w:id="15"/>
      <w:r>
        <w:rPr>
          <w:rFonts w:ascii="arial" w:hAnsi="arial"/>
          <w:b/>
          <w:sz w:val="32"/>
        </w:rPr>
        <w:t xml:space="preserve">Business </w:t>
      </w:r>
    </w:p>
    <w:p>
      <w:pPr>
        <w:pStyle w:val="TextBody"/>
        <w:bidi w:val="0"/>
        <w:spacing w:before="160" w:after="0"/>
        <w:jc w:val="left"/>
        <w:rPr>
          <w:rFonts w:ascii="arial" w:hAnsi="arial"/>
          <w:b/>
          <w:i/>
          <w:sz w:val="20"/>
        </w:rPr>
      </w:pPr>
      <w:r>
        <w:rPr>
          <w:rFonts w:ascii="arial" w:hAnsi="arial"/>
          <w:b/>
          <w:i/>
          <w:sz w:val="20"/>
        </w:rPr>
        <w:t xml:space="preserve">Our mission </w:t>
      </w:r>
    </w:p>
    <w:p>
      <w:pPr>
        <w:pStyle w:val="TextBody"/>
        <w:bidi w:val="0"/>
        <w:spacing w:before="160" w:after="0"/>
        <w:jc w:val="left"/>
        <w:rPr>
          <w:rFonts w:ascii="arial" w:hAnsi="arial"/>
          <w:sz w:val="20"/>
        </w:rPr>
      </w:pPr>
      <w:r>
        <w:rPr>
          <w:rFonts w:ascii="arial" w:hAnsi="arial"/>
          <w:sz w:val="20"/>
        </w:rPr>
        <w:t xml:space="preserve">Our mission is to power precision proteomics to enable the earliest detection of disease. </w:t>
      </w:r>
    </w:p>
    <w:p>
      <w:pPr>
        <w:pStyle w:val="TextBody"/>
        <w:bidi w:val="0"/>
        <w:spacing w:before="320" w:after="0"/>
        <w:jc w:val="left"/>
        <w:rPr>
          <w:rFonts w:ascii="arial" w:hAnsi="arial"/>
          <w:b/>
          <w:i/>
          <w:sz w:val="20"/>
        </w:rPr>
      </w:pPr>
      <w:r>
        <w:rPr>
          <w:rFonts w:ascii="arial" w:hAnsi="arial"/>
          <w:b/>
          <w:i/>
          <w:sz w:val="20"/>
        </w:rPr>
        <w:t xml:space="preserve">Overview </w:t>
      </w:r>
    </w:p>
    <w:p>
      <w:pPr>
        <w:pStyle w:val="TextBody"/>
        <w:bidi w:val="0"/>
        <w:spacing w:before="160" w:after="0"/>
        <w:jc w:val="left"/>
        <w:rPr>
          <w:rFonts w:ascii="arial" w:hAnsi="arial"/>
          <w:sz w:val="20"/>
        </w:rPr>
      </w:pPr>
      <w:r>
        <w:rPr>
          <w:rFonts w:ascii="arial" w:hAnsi="arial"/>
          <w:sz w:val="20"/>
        </w:rPr>
        <w:t xml:space="preserve">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 </w:t>
      </w:r>
    </w:p>
    <w:p>
      <w:pPr>
        <w:pStyle w:val="TextBody"/>
        <w:bidi w:val="0"/>
        <w:spacing w:before="160" w:after="0"/>
        <w:jc w:val="left"/>
        <w:rPr>
          <w:rFonts w:ascii="arial" w:hAnsi="arial"/>
          <w:sz w:val="20"/>
        </w:rPr>
      </w:pPr>
      <w:r>
        <w:rPr>
          <w:rFonts w:ascii="arial" w:hAnsi="arial"/>
          <w:sz w:val="20"/>
        </w:rPr>
        <w:t xml:space="preserve">We commercially launched our proprietary instrument, the ARGO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The robust performance of our platform is further evidenced in over 100 scientific publications since our commercial launch. Our customers include top global research and academic institutions, biopharmaceutical companies, contract research organizations and service labs. All ten of the top ten biopharma companies by 2024 revenue are customers of Alamar. We are also developing a second instrument as part of our IVD platform, called the ARGO HT/DX instrument, for which we intend to provide a submission to the FDA in 2027 for marketing authorization. We have established multiple multi-million dollar collaborations with renowned research foundations to help support the development of our ARGO HT/DX and the discovery of biomarkers in neurodegenerative disease. </w:t>
      </w:r>
    </w:p>
    <w:p>
      <w:pPr>
        <w:pStyle w:val="TextBody"/>
        <w:bidi w:val="0"/>
        <w:spacing w:before="160" w:after="0"/>
        <w:jc w:val="left"/>
        <w:rPr>
          <w:rFonts w:ascii="arial" w:hAnsi="arial"/>
          <w:sz w:val="20"/>
        </w:rPr>
      </w:pPr>
      <w:r>
        <w:rPr>
          <w:rFonts w:ascii="arial" w:hAnsi="arial"/>
          <w:sz w:val="20"/>
        </w:rPr>
        <w:t xml:space="preserve">Proteins are essential for all life functions and the fundamental molecules behind healthy cellular operations and the causal mechanisms of disease, as illustrated by the fact that a large majority of effective drugs have proteins as targets. Proteomic analysis has great potential to identify “biomarkers” of health, to characterize disturbances in disease, to discover new drug targets, to assess risks and to measure the impact of interventions such as drugs and lifestyle changes. However, the complexity of disease and biology requires analysis of multiple proteins and pathways at once. As a result of this complexity, much of the human proteome has remained unmeasurable or unquantifiable by other proteomic technologies, and true Precision Proteomics has not been possible. </w:t>
      </w:r>
    </w:p>
    <w:p>
      <w:pPr>
        <w:pStyle w:val="TextBody"/>
        <w:bidi w:val="0"/>
        <w:spacing w:before="160" w:after="0"/>
        <w:jc w:val="left"/>
        <w:rPr>
          <w:rFonts w:ascii="arial" w:hAnsi="arial"/>
          <w:sz w:val="20"/>
        </w:rPr>
      </w:pPr>
      <w:r>
        <w:rPr>
          <w:rFonts w:ascii="arial" w:hAnsi="arial"/>
          <w:sz w:val="20"/>
        </w:rPr>
        <w:t xml:space="preserve">Our proprietary and patented NULISA technology addresses these critical limitations, and we believe it is currently the only platform that enables Precision Proteomics. The chemistry underpinning our technology employs a unique sequential purification of immunocomplexes to suppress background noise and enable the detection of low-abundance protein targets in biofluids across large and diverse populations. Our platform is a fully integrated and fully automated proteomic analysis solution and provides scientists with an end-to-end solution to precisely and consistently measure from one to over one hundred low-abundance and difficult-to-detect biomarkers across the continuum of discovery, translational research and, ultimately, diagnostics. Scientists value our platform because it offers an accessible, easy-to-use and reliable ultra-high sensitivity and multiplexed biomarker analysis of large cohorts of samples.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951220" cy="2368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51220" cy="236855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Our current instrument, the ARGO HT System, is designed to fully automate high-sensitivity and high-plex proteomics analysis and is currently available for research use only (“RUO”) applications. It was built to execute our NULISA chemistry in a simple and reproducible workflow for broad biomarker profiling, validation and potential translation into future clinical use. ARGO HT facilitates the seamless analysis of large cohorts and clinical research with minimal handling, rapid turnaround times and high data quality. </w:t>
      </w:r>
    </w:p>
    <w:p>
      <w:pPr>
        <w:pStyle w:val="TextBody"/>
        <w:bidi w:val="0"/>
        <w:spacing w:before="160" w:after="0"/>
        <w:jc w:val="left"/>
        <w:rPr>
          <w:rFonts w:ascii="arial" w:hAnsi="arial"/>
          <w:sz w:val="20"/>
        </w:rPr>
      </w:pPr>
      <w:r>
        <w:rPr>
          <w:rFonts w:ascii="arial" w:hAnsi="arial"/>
          <w:sz w:val="20"/>
        </w:rPr>
        <w:t xml:space="preserve">These technical achievements allow us to design and deploy innovative assays, unlocking Precision Proteomics for scientists. Our initial assay menu focuses on neurology and immunology. We develop a significant portion of our assay panels in close partnership with our customers, who are experts in identifying important protein biomarkers in their respective fields. Our flagship multiplex assay, the CNS Disease Panel 120, provides broad coverage of neurodegeneration pathways. Additionally, our single-plex BD-pTau217 assay can distinctly measure brain-derived-pTau217, which is present in low abundance in blood and is critical for research involving biomarkers for early diagnosis of Alzheimer’s disease. Our assay enables BD-pTau217 quantitation using a small blood sample, offering a noninvasive, economical and convenient alternative to cerebrospinal fluid sample tests or PET scans. We also develop kits for customers to create their own assays, enabling our technology to meet the needs of customers operating in their disease areas of interest. </w:t>
      </w:r>
    </w:p>
    <w:p>
      <w:pPr>
        <w:pStyle w:val="TextBody"/>
        <w:bidi w:val="0"/>
        <w:spacing w:before="160" w:after="0"/>
        <w:jc w:val="left"/>
        <w:rPr>
          <w:rFonts w:ascii="arial" w:hAnsi="arial"/>
          <w:sz w:val="20"/>
        </w:rPr>
      </w:pPr>
      <w:r>
        <w:rPr>
          <w:rFonts w:ascii="arial" w:hAnsi="arial"/>
          <w:sz w:val="20"/>
        </w:rPr>
        <w:t xml:space="preserve">The flexibility of our platform is designed to enable researchers to seamlessly transition from high-plex discovery panels to the development of low-plex diagnostics assays. As a result, our strategy is to continue driving adoption in the targeted discovery and translational markets and subsequently establish a foundation for clinical diagnostics through internal innovation and external collaborations. Ultimately, our platform is designed to support the entire customer journey from discovery to diagnostics, unlocking the full value of precision medicine and early disease detection. </w:t>
      </w:r>
    </w:p>
    <w:p>
      <w:pPr>
        <w:pStyle w:val="TextBody"/>
        <w:bidi w:val="0"/>
        <w:spacing w:before="160" w:after="0"/>
        <w:jc w:val="left"/>
        <w:rPr>
          <w:rFonts w:ascii="arial" w:hAnsi="arial"/>
          <w:sz w:val="20"/>
        </w:rPr>
      </w:pPr>
      <w:r>
        <w:rPr>
          <w:rFonts w:ascii="arial" w:hAnsi="arial"/>
          <w:sz w:val="20"/>
        </w:rPr>
        <w:t xml:space="preserve">For the years ended December 31, 2024 and 2025, we generated total revenue of $25.1 million and $74.2 million, respectively, representing year-over-year growth of 195%. Gross margin was 34% and 56%, respectively. We have incurred net losses and negative cash flows from operations since inception. For the years ended December 31, 2024 and 2025, we incurred net losses of $47.1 million and $29.8 million, respectively. </w:t>
      </w:r>
    </w:p>
    <w:p>
      <w:pPr>
        <w:pStyle w:val="TextBody"/>
        <w:bidi w:val="0"/>
        <w:spacing w:before="320" w:after="0"/>
        <w:jc w:val="left"/>
        <w:rPr>
          <w:rFonts w:ascii="arial" w:hAnsi="arial"/>
          <w:b/>
          <w:sz w:val="24"/>
        </w:rPr>
      </w:pPr>
      <w:r>
        <w:rPr>
          <w:rFonts w:ascii="arial" w:hAnsi="arial"/>
          <w:b/>
          <w:sz w:val="24"/>
        </w:rPr>
        <w:t xml:space="preserve">Industry background </w:t>
      </w:r>
    </w:p>
    <w:p>
      <w:pPr>
        <w:pStyle w:val="TextBody"/>
        <w:bidi w:val="0"/>
        <w:spacing w:before="160" w:after="0"/>
        <w:jc w:val="left"/>
        <w:rPr>
          <w:rFonts w:ascii="arial" w:hAnsi="arial"/>
          <w:sz w:val="20"/>
        </w:rPr>
      </w:pPr>
      <w:r>
        <w:rPr>
          <w:rFonts w:ascii="arial" w:hAnsi="arial"/>
          <w:sz w:val="20"/>
        </w:rPr>
        <w:t xml:space="preserve">Proteomics is the systematic measurement of large sets of different proteins and variants of proteins expressed by a genome, cell, or organism. The human body has approximately 20,000 protein-coding genes, but there are many more protein variants in the human proteome because of modifications that happen to them after they are made and different “isoforms,” which are subtly different protein structures referred to as “proteoforms.” The blood proteome has immense potential for precision medicine through non-invasive measurements.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tissues communicate with the blood, directly or indirectly, and proteins reflect dynamic real-time biological state in health and disease. Among the approximately 20,000 proteins in a human body, over 10,000 can be found in blood. Plasma represents the largest and deepest version of the human proteome, containing classical plasma proteins, tissue proteins and numerous immunoglobulin proteins. However, the abundance of plasma proteins can differ by more than 12 orders of magnitude in concentration. We estimate that more than half of proteins in human plasma have not been measured reliably with existing technologies, including and affinity-based assays and mass spectrometry. </w:t>
      </w:r>
    </w:p>
    <w:p>
      <w:pPr>
        <w:pStyle w:val="TextBody"/>
        <w:bidi w:val="0"/>
        <w:spacing w:before="160" w:after="0"/>
        <w:jc w:val="left"/>
        <w:rPr>
          <w:rFonts w:ascii="arial" w:hAnsi="arial"/>
          <w:sz w:val="20"/>
        </w:rPr>
      </w:pPr>
      <w:r>
        <w:rPr>
          <w:rFonts w:ascii="arial" w:hAnsi="arial"/>
          <w:sz w:val="20"/>
        </w:rPr>
        <w:t xml:space="preserve">Researchers use proteomic measurements as “biomarkers,” to understand normal physiology, to characterize disturbances in disease, to assess risks, and to measure the impact of interventions such as drugs and lifestyle changes. Therefore, proteomic analysis provides uniquely valuable information across the continuum from discovery, where proteins are identified as disease biomarkers and therapeutic targets, to diagnosis and population health, where their presence or absence can guide clinical decisions and precision medicine. </w:t>
      </w:r>
    </w:p>
    <w:p>
      <w:pPr>
        <w:pStyle w:val="TextBody"/>
        <w:bidi w:val="0"/>
        <w:spacing w:before="320" w:after="0"/>
        <w:jc w:val="left"/>
        <w:rPr>
          <w:rFonts w:ascii="arial" w:hAnsi="arial"/>
          <w:b/>
          <w:i/>
          <w:sz w:val="20"/>
        </w:rPr>
      </w:pPr>
      <w:r>
        <w:rPr>
          <w:rFonts w:ascii="arial" w:hAnsi="arial"/>
          <w:b/>
          <w:i/>
          <w:sz w:val="20"/>
        </w:rPr>
        <w:t xml:space="preserve">The age of proteomics </w:t>
      </w:r>
    </w:p>
    <w:p>
      <w:pPr>
        <w:pStyle w:val="TextBody"/>
        <w:bidi w:val="0"/>
        <w:spacing w:before="160" w:after="0"/>
        <w:jc w:val="left"/>
        <w:rPr>
          <w:rFonts w:ascii="arial" w:hAnsi="arial"/>
          <w:sz w:val="20"/>
        </w:rPr>
      </w:pPr>
      <w:r>
        <w:rPr>
          <w:rFonts w:ascii="arial" w:hAnsi="arial"/>
          <w:sz w:val="20"/>
        </w:rPr>
        <w:t xml:space="preserve">The genome serves as biology’s foundational blueprint, encoding instructions that are transcribed into RNA, which is ultimately translated into proteins, the building block of all biological processes. Over the last 25 years, the revolution of genomics, the study of all an organism’s genes and their interactions to influence the organism, has marked a transformative era in biology with technological advancements accelerating our understanding of human health and disease. Next-generation sequencing (“NGS”) platforms have powered this revolution into diagnostic tests that can detect a range of genetic conditions, including non-invasive prenatal testing, molecular profiling of tumors for prognosis and therapy selection, minimal residual disease (“MRD”) monitoring for cancer recurrence and, more recently, early cancer detection through multi-cancer early detection (“MCED”) assays, as well as testing for and the development of gene-therapies in rare hereditary diseases. </w:t>
      </w:r>
    </w:p>
    <w:p>
      <w:pPr>
        <w:pStyle w:val="TextBody"/>
        <w:bidi w:val="0"/>
        <w:spacing w:before="160" w:after="0"/>
        <w:jc w:val="left"/>
        <w:rPr>
          <w:rFonts w:ascii="arial" w:hAnsi="arial"/>
          <w:sz w:val="20"/>
        </w:rPr>
      </w:pPr>
      <w:r>
        <w:rPr>
          <w:rFonts w:ascii="arial" w:hAnsi="arial"/>
          <w:sz w:val="20"/>
        </w:rPr>
        <w:t xml:space="preserve">However, for many diseases, genetics has had limited impact to date on broad population health or medical management. This is because genes are effectively a blueprint of what physiology could be, not an indicator of current physiological state or the impact of environmental effects. The scientific community is therefore motivated to seek additional sources of molecular information with applicability to conditions where genetics has not provided a solution. Proteins are optimal candidates because they are downstream of genetic effects, operate the causal mechanisms of disease, are the targets of most approved drugs and are sensitive to environmental, lifestyle, drug and disease effects. </w:t>
      </w:r>
    </w:p>
    <w:p>
      <w:pPr>
        <w:pStyle w:val="TextBody"/>
        <w:bidi w:val="0"/>
        <w:spacing w:before="320" w:after="0"/>
        <w:jc w:val="left"/>
        <w:rPr>
          <w:rFonts w:ascii="arial" w:hAnsi="arial"/>
          <w:b/>
          <w:i/>
          <w:sz w:val="20"/>
        </w:rPr>
      </w:pPr>
      <w:r>
        <w:rPr>
          <w:rFonts w:ascii="arial" w:hAnsi="arial"/>
          <w:b/>
          <w:i/>
          <w:sz w:val="20"/>
        </w:rPr>
        <w:t xml:space="preserve">The historical proteomics gap </w:t>
      </w:r>
    </w:p>
    <w:p>
      <w:pPr>
        <w:pStyle w:val="TextBody"/>
        <w:bidi w:val="0"/>
        <w:spacing w:before="160" w:after="0"/>
        <w:jc w:val="left"/>
        <w:rPr>
          <w:rFonts w:ascii="arial" w:hAnsi="arial"/>
          <w:sz w:val="20"/>
        </w:rPr>
      </w:pPr>
      <w:r>
        <w:rPr>
          <w:rFonts w:ascii="arial" w:hAnsi="arial"/>
          <w:sz w:val="20"/>
        </w:rPr>
        <w:t xml:space="preserve">One-at-a-time immunoassays for individual proteins have been central to medical management for years: troponin for heart attacks, chorionic gonadotrophin for pregnancy, renin and aldosterone for blood pressure and kidney function and C-reactive protein for inflammation. As of 2025, we estimate approximately 200 protein tests are FDA-approved with well-defined analytical standards. These tests generally allow incremental changes to be interpreted as clinically meaningful changes in phenotype or condition. While results can be aggregated, measuring more than tens of proteins this way is impractical and expensive, and insufficiently broad to be called proteomics. </w:t>
      </w:r>
    </w:p>
    <w:p>
      <w:pPr>
        <w:pStyle w:val="TextBody"/>
        <w:bidi w:val="0"/>
        <w:spacing w:before="160" w:after="0"/>
        <w:jc w:val="left"/>
        <w:rPr>
          <w:rFonts w:ascii="arial" w:hAnsi="arial"/>
          <w:sz w:val="20"/>
        </w:rPr>
      </w:pPr>
      <w:r>
        <w:rPr>
          <w:rFonts w:ascii="arial" w:hAnsi="arial"/>
          <w:sz w:val="20"/>
        </w:rPr>
        <w:t xml:space="preserve">On the other end are very highly multiplexed platforms generating many unknown associations with phenotype, but not delivering true Precision Proteomics due to weaknesses in analytical performance. </w:t>
      </w:r>
    </w:p>
    <w:p>
      <w:pPr>
        <w:pStyle w:val="TextBody"/>
        <w:bidi w:val="0"/>
        <w:spacing w:before="160" w:after="0"/>
        <w:jc w:val="left"/>
        <w:rPr>
          <w:rFonts w:ascii="arial" w:hAnsi="arial"/>
          <w:sz w:val="20"/>
        </w:rPr>
      </w:pPr>
      <w:r>
        <w:rPr>
          <w:rFonts w:ascii="arial" w:hAnsi="arial"/>
          <w:sz w:val="20"/>
        </w:rPr>
        <w:t xml:space="preserve">The market for Precision Proteomics arises in two ways. First, there is need to aggregate known proteins from single-plex assays into multiplexed panels without losing analytical performance, which would enable disease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subtyping and pharmacology characterization. Second, there is need to quantify “hits” from highly multiplexed platforms showing novel protein-disease associations and validating that there is causal or consistent association in large studies and different populations. These are candidates for translation to more quantitative platforms as an “exit” strategy from qualitative, expensive highly multiplexed platforms that require skilled operators, have limited availability and have analytical limitations preventing Precision Proteomics in research and regulated applications. </w:t>
      </w:r>
    </w:p>
    <w:p>
      <w:pPr>
        <w:pStyle w:val="TextBody"/>
        <w:bidi w:val="0"/>
        <w:spacing w:before="160" w:after="0"/>
        <w:jc w:val="left"/>
        <w:rPr>
          <w:rFonts w:ascii="arial" w:hAnsi="arial"/>
          <w:sz w:val="20"/>
        </w:rPr>
      </w:pPr>
      <w:r>
        <w:rPr>
          <w:rFonts w:ascii="arial" w:hAnsi="arial"/>
          <w:sz w:val="20"/>
        </w:rPr>
        <w:t xml:space="preserve">Other approaches to advanced proteomics have addressed expansion of multiplex size but their analytical performance is insufficient in one or more components of Precision Proteomics. They are capable of certain biomarker “hits” and qualitative phenotypic associations for new proteins, but not generally the quantitative fine-level relation of protein to phenotype and will likely miss low abundance but important proteins, which require true Precision Proteomics. </w:t>
      </w:r>
    </w:p>
    <w:p>
      <w:pPr>
        <w:pStyle w:val="TextBody"/>
        <w:bidi w:val="0"/>
        <w:spacing w:before="320" w:after="0"/>
        <w:jc w:val="left"/>
        <w:rPr>
          <w:rFonts w:ascii="arial" w:hAnsi="arial"/>
          <w:b/>
          <w:i/>
          <w:sz w:val="20"/>
        </w:rPr>
      </w:pPr>
      <w:r>
        <w:rPr>
          <w:rFonts w:ascii="arial" w:hAnsi="arial"/>
          <w:b/>
          <w:i/>
          <w:sz w:val="20"/>
        </w:rPr>
        <w:t xml:space="preserve">Limitations of existing proteomics technologies </w:t>
      </w:r>
    </w:p>
    <w:p>
      <w:pPr>
        <w:pStyle w:val="TextBody"/>
        <w:bidi w:val="0"/>
        <w:spacing w:before="160" w:after="0"/>
        <w:jc w:val="left"/>
        <w:rPr>
          <w:rFonts w:ascii="arial" w:hAnsi="arial"/>
          <w:sz w:val="20"/>
        </w:rPr>
      </w:pPr>
      <w:r>
        <w:rPr>
          <w:rFonts w:ascii="arial" w:hAnsi="arial"/>
          <w:sz w:val="20"/>
        </w:rPr>
        <w:t xml:space="preserve">Today, most highly multiplexed proteomics technology platforms have the capability of establishing qualitative correlation between proteins and phenotypes, which aids understanding of protein function and can identify causality. The next increment of value requires correlating protein changes more quantitatively to disease risk, phenotype, severity or outcome. This requires Precision Proteomics. </w:t>
      </w:r>
    </w:p>
    <w:p>
      <w:pPr>
        <w:pStyle w:val="TextBody"/>
        <w:bidi w:val="0"/>
        <w:spacing w:before="160" w:after="0"/>
        <w:jc w:val="left"/>
        <w:rPr>
          <w:rFonts w:ascii="arial" w:hAnsi="arial"/>
          <w:sz w:val="20"/>
        </w:rPr>
      </w:pPr>
      <w:r>
        <w:rPr>
          <w:rFonts w:ascii="arial" w:hAnsi="arial"/>
          <w:sz w:val="20"/>
        </w:rPr>
        <w:t xml:space="preserve">However, the combination of all analytical qualities required for Precision Proteomics, including sensitivity, specificity, multiplexing, dynamic range and automation has historically been a challenge. Diseases are complicated and heterogeneous, requiring analysis of multiple proteins and pathways. Despite decades of innovation, existing proteomics technologies still face challenges in measuring protein biomarker complexity. Existing proteomic tools do not comprehensively provide all five critical capabilities: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Inadequate sensitivity.</w:t>
            </w:r>
            <w:r>
              <w:rPr>
                <w:rFonts w:ascii="arial" w:hAnsi="arial"/>
                <w:sz w:val="20"/>
              </w:rPr>
              <w:t xml:space="preserve"> Most proteins in plasma exist at extremely low abundance. Fewer than 20% are actively secreted. The rest appear only through cell turnover, injury or intracellular leakage, making them difficult to detect. As interest in plasma proteomics grows, this sensitivity challenge becomes more pronounced. For example, BD-pTau217, a clinically important but very low-abundance marker, is undetectable on most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Limited specificity.</w:t>
            </w:r>
            <w:r>
              <w:rPr>
                <w:rFonts w:ascii="arial" w:hAnsi="arial"/>
                <w:sz w:val="20"/>
              </w:rPr>
              <w:t xml:space="preserve"> Because some plasma proteins are over a trillion-fold more abundant than others, even if a targeted reagent has much better affinity (referring to the strength of the physical binding between a specific binder, such as an antibody, and its intended target molecule) for the right but low-abundance protein and binds to only a tiny fraction of the wrong but similar high-abundance protein, the dominant signal will arise from the wrong protein. Small changes in protein folding or isoforms and single amino-acid differences are easily missed by affinity reagents. While mass spectrometry succeeds here, and emerging protein sequencing methods may be able to address this problem, specificity remains a concern for other affinity-based approaches, especially as multiplex menus expand and interest extends into more subtle protein variants.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Challenges of multiplexing.</w:t>
            </w:r>
            <w:r>
              <w:rPr>
                <w:rFonts w:ascii="arial" w:hAnsi="arial"/>
                <w:sz w:val="20"/>
              </w:rPr>
              <w:t xml:space="preserve"> Detecting multiple proteins and discerning protein-network patterns in the same sample is more informative than singletons or small numbers of proteins. However, as multiplex sizes increase, analytical performance generally declines for both affinity-based assays and mass spectrometry.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Limited dynamic range.</w:t>
            </w:r>
            <w:r>
              <w:rPr>
                <w:rFonts w:ascii="arial" w:hAnsi="arial"/>
                <w:sz w:val="20"/>
              </w:rPr>
              <w:t xml:space="preserve"> Difficulty in quantifying proteins spanning 10 or more orders of magnitude limits the ability to combine multiple assays into a single test. For affinity-based assays, binding reagent affinity alone is insufficient to overcome the abundance of “wrong” proteins. In mass spectrometry, high-abundance proteins obscure those at the low end. Multiple sample dilutions or pre-processing solutions increase assay complexity.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Complex workflow.</w:t>
            </w:r>
            <w:r>
              <w:rPr>
                <w:rFonts w:ascii="arial" w:hAnsi="arial"/>
                <w:sz w:val="20"/>
              </w:rPr>
              <w:t xml:space="preserve"> Precision and batch-to-batch variability is a challenge that is mostly addressed by automation. There is often variability when the same sample is analyzed multiple times on the same instrument. Diagnostic tests used in healthcare or clinical trials typically expect this variation to be less than 10%, which is not routinely achieved by most highly multiplexed platforms or mass spectrometry. Additionally, drift of instrument calibration between batches limits comparability of results between studies for most platforms. However, while many single-plex diagnostic instruments provide full automation, there are no other highly multiplexed approaches that are fully automated. </w:t>
            </w:r>
          </w:p>
        </w:tc>
      </w:tr>
    </w:tbl>
    <w:p>
      <w:pPr>
        <w:pStyle w:val="TextBody"/>
        <w:bidi w:val="0"/>
        <w:spacing w:before="320" w:after="0"/>
        <w:jc w:val="left"/>
        <w:rPr>
          <w:rFonts w:ascii="arial" w:hAnsi="arial"/>
          <w:b/>
          <w:sz w:val="24"/>
        </w:rPr>
      </w:pPr>
      <w:r>
        <w:rPr>
          <w:rFonts w:ascii="arial" w:hAnsi="arial"/>
          <w:b/>
          <w:sz w:val="24"/>
        </w:rPr>
        <w:t xml:space="preserve">Our technology </w:t>
      </w:r>
    </w:p>
    <w:p>
      <w:pPr>
        <w:pStyle w:val="TextBody"/>
        <w:bidi w:val="0"/>
        <w:spacing w:before="160" w:after="0"/>
        <w:jc w:val="left"/>
        <w:rPr>
          <w:rFonts w:ascii="arial" w:hAnsi="arial"/>
          <w:sz w:val="20"/>
        </w:rPr>
      </w:pPr>
      <w:r>
        <w:rPr>
          <w:rFonts w:ascii="arial" w:hAnsi="arial"/>
          <w:sz w:val="20"/>
        </w:rPr>
        <w:t>We developed our proprietary NULISA (</w:t>
      </w:r>
      <w:r>
        <w:rPr>
          <w:rFonts w:ascii="arial" w:hAnsi="arial"/>
          <w:b/>
          <w:sz w:val="20"/>
        </w:rPr>
        <w:t>NU</w:t>
      </w:r>
      <w:r>
        <w:rPr>
          <w:rFonts w:ascii="arial" w:hAnsi="arial"/>
          <w:sz w:val="20"/>
        </w:rPr>
        <w:t xml:space="preserve">cleic Acid </w:t>
      </w:r>
      <w:r>
        <w:rPr>
          <w:rFonts w:ascii="arial" w:hAnsi="arial"/>
          <w:b/>
          <w:sz w:val="20"/>
        </w:rPr>
        <w:t>L</w:t>
      </w:r>
      <w:r>
        <w:rPr>
          <w:rFonts w:ascii="arial" w:hAnsi="arial"/>
          <w:sz w:val="20"/>
        </w:rPr>
        <w:t xml:space="preserve">inked </w:t>
      </w:r>
      <w:r>
        <w:rPr>
          <w:rFonts w:ascii="arial" w:hAnsi="arial"/>
          <w:b/>
          <w:sz w:val="20"/>
        </w:rPr>
        <w:t>I</w:t>
      </w:r>
      <w:r>
        <w:rPr>
          <w:rFonts w:ascii="arial" w:hAnsi="arial"/>
          <w:sz w:val="20"/>
        </w:rPr>
        <w:t>mmuno-</w:t>
      </w:r>
      <w:r>
        <w:rPr>
          <w:rFonts w:ascii="arial" w:hAnsi="arial"/>
          <w:b/>
          <w:sz w:val="20"/>
        </w:rPr>
        <w:t>S</w:t>
      </w:r>
      <w:r>
        <w:rPr>
          <w:rFonts w:ascii="arial" w:hAnsi="arial"/>
          <w:sz w:val="20"/>
        </w:rPr>
        <w:t xml:space="preserve">andwich </w:t>
      </w:r>
      <w:r>
        <w:rPr>
          <w:rFonts w:ascii="arial" w:hAnsi="arial"/>
          <w:b/>
          <w:sz w:val="20"/>
        </w:rPr>
        <w:t>A</w:t>
      </w:r>
      <w:r>
        <w:rPr>
          <w:rFonts w:ascii="arial" w:hAnsi="arial"/>
          <w:sz w:val="20"/>
        </w:rPr>
        <w:t xml:space="preserve">ssay) technology as the foundation of our Precision Proteomics platform. Unlike conventional approaches that mostly attempt to boost signal, the chemistry underpinning our technology works by also suppressing background noise, which dramatically increases the signal-to-noise ratio. Our method leverages a series of purification steps, rather than relying on dilution, which is known to compromise sensitivity and dynamic range, and impair automation. By precisely targeting and removing background noise, we achieve a 10,000-fold improvement in signal-to-noise ratio compared to conventional proximity ligation assays and enable the reliable detection of proteins at attomolar concentrations. This approach is not only conceptually novel but also practically challenging for others to replicate, as it is protected by a robust portfolio of patents and more than five years of accumulated trade secrets. </w:t>
      </w:r>
    </w:p>
    <w:p>
      <w:pPr>
        <w:pStyle w:val="TextBody"/>
        <w:bidi w:val="0"/>
        <w:spacing w:before="160" w:after="0"/>
        <w:jc w:val="left"/>
        <w:rPr>
          <w:rFonts w:ascii="arial" w:hAnsi="arial"/>
          <w:sz w:val="20"/>
        </w:rPr>
      </w:pPr>
      <w:r>
        <w:rPr>
          <w:rFonts w:ascii="arial" w:hAnsi="arial"/>
          <w:sz w:val="20"/>
        </w:rPr>
        <w:t xml:space="preserve">Today, our NULISA technology can detect and quantify with ultra-high sensitivity and high specificity over one hundred protein biomarkers in a single sample from as little as 10 microliters of biofluid. We believe NULISA has the technical capability to, in the future, expand to detect and quantify thousands of protein biomarkers. With a fully automated workflow and panels that include both low- and high-abundance protein markers, NULISA empowers scientists to reliably analyze complex samples and unlock new possibilities in early disease detection.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6860" cy="24142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356860" cy="241427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Our NULISA technology utilizes an advanced magnetic bead-based purification method which enables robust and reproducible isolation of antibody-protein immunocomplexes. It detects proteins through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Step 1: Target binding and immunocomplex formation.</w:t>
            </w:r>
            <w:r>
              <w:rPr>
                <w:rFonts w:ascii="arial" w:hAnsi="arial"/>
                <w:sz w:val="20"/>
              </w:rPr>
              <w:t xml:space="preserve"> We incubate the sample (e.g., blood) containing the protein of interest with pairs of antibodies, each conjugated to a unique oligonucleotide, a short string of DNA or RNA that act as “digital tags” attached to antibodies that link together to create a readable signal for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quantification in the NULISA technology (biotinylated oligo and polyA-tailed oligo, respectively) for sequential capture. Each antibody is specific to a different epitope of the target protein. As a result, the antibody-oligo conjugates specifically bind to their respective protein targets present in the sample, forming an immunocomplex.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Step 2: First oligo-dT capture.</w:t>
            </w:r>
            <w:r>
              <w:rPr>
                <w:rFonts w:ascii="arial" w:hAnsi="arial"/>
                <w:sz w:val="20"/>
              </w:rPr>
              <w:t xml:space="preserve"> After binding, oligo-dT coated paramagnetic beads (microscopic magnetic particles used in laboratory workflows to physically separate and purify target molecules from complex biological mixtures) are added to capture the immunocomplex via the poly-A tail oligonucleotide. This initial bead-based purification enables us to physically separate the specifically bound complexes from the rest of the sample.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3: First wash.</w:t>
            </w:r>
            <w:r>
              <w:rPr>
                <w:rFonts w:ascii="arial" w:hAnsi="arial"/>
                <w:sz w:val="20"/>
              </w:rPr>
              <w:t xml:space="preserve"> The first wash removes unbound proteins, excess reagents and other sample components that could contribute to background noise.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Step 4: First release.</w:t>
            </w:r>
            <w:r>
              <w:rPr>
                <w:rFonts w:ascii="arial" w:hAnsi="arial"/>
                <w:sz w:val="20"/>
              </w:rPr>
              <w:t xml:space="preserve"> The antibody-protein immunocomplex is then released into a low-salt 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5: Second streptavidin capture and wash.</w:t>
            </w:r>
            <w:r>
              <w:rPr>
                <w:rFonts w:ascii="arial" w:hAnsi="arial"/>
                <w:sz w:val="20"/>
              </w:rPr>
              <w:t xml:space="preserve"> To further enhance purity and specificity, we add streptavidin-coated beads, which capture the immune complex a second time through the biotinylated oligonucleotide and follow with a second wash step. This dual-capture strategy to purify the immunocomplex is unique to our platform and is a key differentiator in our approach to background noise suppression.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6: Proximity ligation and second release.</w:t>
            </w:r>
            <w:r>
              <w:rPr>
                <w:rFonts w:ascii="arial" w:hAnsi="arial"/>
                <w:sz w:val="20"/>
              </w:rPr>
              <w:t xml:space="preserve"> We introduce bridge oligonucleotides to facilitate the ligation of the antibody-conjugated oligos. This ligation occurs only when both antibodies are bound to the same protein molecule, ensuring high specificity. The ligation event creates a unique DNA template that encodes the presence and identity of the target protein.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7: Amplification and quantification.</w:t>
            </w:r>
            <w:r>
              <w:rPr>
                <w:rFonts w:ascii="arial" w:hAnsi="arial"/>
                <w:sz w:val="20"/>
              </w:rPr>
              <w:t xml:space="preserve"> For single-plex or low-plex panels, we amplify and quantify the DNA template using qPCR directly onboard our ARGO HT instrument. For high-plex panels, we barcode and pool the DNA templates for offline next-generation sequencing, enabling simultaneous quantification of hundreds of proteins in a single reaction. </w:t>
            </w:r>
          </w:p>
        </w:tc>
      </w:tr>
    </w:tbl>
    <w:p>
      <w:pPr>
        <w:pStyle w:val="TextBody"/>
        <w:bidi w:val="0"/>
        <w:spacing w:before="160" w:after="0"/>
        <w:jc w:val="left"/>
        <w:rPr>
          <w:rFonts w:ascii="arial" w:hAnsi="arial"/>
          <w:sz w:val="20"/>
        </w:rPr>
      </w:pPr>
      <w:r>
        <w:rPr>
          <w:rFonts w:ascii="arial" w:hAnsi="arial"/>
          <w:sz w:val="20"/>
        </w:rPr>
        <w:t xml:space="preserve">Plasma contains protein biomarkers that span 12 logs of dynamic range. NULISA’s ultra-high sensitivity means it is able to detect protein biomarkers with a limit of detection (“LOD”) at or below attomolar level. This is especially critical for low-abundance proteins, which have historically been difficult to detect using existing methods. With respect to high-abundance proteins, in order to detect both high and low-abundance protein targets in the same sample, we actually have to reduce sensitivity of the NULISA assay to avoid signal saturation. NULISA’s high specificity means less than 1% of cross reactivity. This is demonstrated by its ability to distinguish single amino acid changes or different phosphorylation sites. </w:t>
      </w:r>
    </w:p>
    <w:p>
      <w:pPr>
        <w:pStyle w:val="TextBody"/>
        <w:bidi w:val="0"/>
        <w:spacing w:before="160" w:after="0"/>
        <w:jc w:val="left"/>
        <w:rPr>
          <w:rFonts w:ascii="arial" w:hAnsi="arial"/>
          <w:sz w:val="20"/>
        </w:rPr>
      </w:pPr>
      <w:r>
        <w:rPr>
          <w:rFonts w:ascii="arial" w:hAnsi="arial"/>
          <w:sz w:val="20"/>
        </w:rPr>
        <w:t xml:space="preserve">Our internal verification and validation data has consistently demonstrated ultra-high sensitivity and high specificity across many low abundance targets in our commercially available panels. For example, in our NULISAseq Inflammation Panel 250, we have demonstrated ultra-high sensitivity in over 75 targets. In our NULISAseq CNS Panel 120, we have demonstrated ultra-high sensitivity in over 30 targets. The remainder of the targets offered in these panels are not low abundance proteins and, therefore, do not require ultra-high sensitivity at the attomolar level. LOD for each target was determined by serially diluting the protein standard and measuring the diluted proteins with NULISAseq, a high-plex assay format within our NULISA technology that enables the simultaneous detection and quantification of hundreds to thousands of proteins using NGS as the readout. The figure below shows the LODs for the combined protein targets in the NULISAseq Inflammation Panel 250 and CNS Panel 120.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2202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65800" cy="220218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To validate the specificity of each assay in the NULISAseq panels, we made many small pools of recombinant proteins and analyzed these pools with the corresponding NULISAseq panel. Any detection by an assay in protein pools not containing the target protein indicated cross-reactivity. The overall results indicated that &gt;90% of the assays demonstrated &lt;1% cross-reactivity, thus demonstrating high specificity. </w:t>
      </w:r>
    </w:p>
    <w:p>
      <w:pPr>
        <w:pStyle w:val="TextBody"/>
        <w:bidi w:val="0"/>
        <w:spacing w:before="160" w:after="0"/>
        <w:jc w:val="left"/>
        <w:rPr>
          <w:rFonts w:ascii="arial" w:hAnsi="arial"/>
          <w:sz w:val="20"/>
        </w:rPr>
      </w:pPr>
      <w:r>
        <w:rPr>
          <w:rFonts w:ascii="arial" w:hAnsi="arial"/>
          <w:sz w:val="20"/>
        </w:rPr>
        <w:t xml:space="preserve">A published example that validates NULISA’s ultra-high sensitivity and high specificity is a seminal study we conducted that was published in </w:t>
      </w:r>
      <w:r>
        <w:rPr>
          <w:rFonts w:ascii="arial" w:hAnsi="arial"/>
          <w:i/>
          <w:sz w:val="20"/>
        </w:rPr>
        <w:t xml:space="preserve">Nature Communications </w:t>
      </w:r>
      <w:r>
        <w:rPr>
          <w:rFonts w:ascii="arial" w:hAnsi="arial"/>
          <w:sz w:val="20"/>
        </w:rPr>
        <w:t xml:space="preserve">in 2023. This study demonstrated the ultra-high sensitivity and high specificity of our technology for low abundance protein targets. NULISA was benchmarked against homogeneous proximity ligation assay (PLA) and Quanterix Simoa, an ultra-sensitive digital ELISA platform, in a head-to-head comparison using the same antibodies in both cases. NULISA’s unique dual capture-release purification mechanism demonstrated &gt;10,000-fold background reduction versus PLA and 10x higher sensitivity than Simoa. The study also compared NULISA and Olink PEA for the detection of 74 shared low abundance targets. NULISA had 250-old lower LOD (p=4.9e-10) and 65-fold lower LLOQ (p=9.6e-09) than Olink, and NULISA also demonstrated higher detectability (95% NULISA vs. 83% Olink, p=0.016). Specificity was assessed in both single-plex and high multiplex formats. A single-plex NULISA for human EGFR maintained attomolar sensitivity in the presence of a million-fold excess of 90%-identical mouse EGFR. In a 200-plex format, 91% of assays showed &lt;1% cross-reactivity to other proteins. </w:t>
      </w:r>
    </w:p>
    <w:p>
      <w:pPr>
        <w:pStyle w:val="TextBody"/>
        <w:bidi w:val="0"/>
        <w:spacing w:before="320" w:after="0"/>
        <w:jc w:val="left"/>
        <w:rPr>
          <w:rFonts w:ascii="arial" w:hAnsi="arial"/>
          <w:b/>
          <w:i/>
          <w:sz w:val="20"/>
        </w:rPr>
      </w:pPr>
      <w:r>
        <w:rPr>
          <w:rFonts w:ascii="arial" w:hAnsi="arial"/>
          <w:b/>
          <w:i/>
          <w:sz w:val="20"/>
        </w:rPr>
        <w:t xml:space="preserve">Five pillars enabling Precision Proteomics </w:t>
      </w:r>
    </w:p>
    <w:p>
      <w:pPr>
        <w:pStyle w:val="TextBody"/>
        <w:bidi w:val="0"/>
        <w:spacing w:before="160" w:after="0"/>
        <w:jc w:val="left"/>
        <w:rPr>
          <w:rFonts w:ascii="arial" w:hAnsi="arial"/>
          <w:sz w:val="20"/>
        </w:rPr>
      </w:pPr>
      <w:r>
        <w:rPr>
          <w:rFonts w:ascii="arial" w:hAnsi="arial"/>
          <w:sz w:val="20"/>
        </w:rPr>
        <w:t xml:space="preserve">Our NULISA technology overcomes critical limitations of existing technologies and brings together five key capabilities: ultra-high sensitivity, high specificity, flexible multiplexing, broad dynamic range and seamless automation. The combination of all five pillars is critical to power Precision Proteomics, which we believe is uniquely enabled by our technology. We believe no other proteomics technology on the market today combines all five pillars needed for Precision Proteomics. </w:t>
      </w:r>
    </w:p>
    <w:p>
      <w:pPr>
        <w:pStyle w:val="TextBody"/>
        <w:bidi w:val="0"/>
        <w:spacing w:before="160" w:after="0"/>
        <w:jc w:val="left"/>
        <w:rPr>
          <w:rFonts w:ascii="arial" w:hAnsi="arial"/>
          <w:sz w:val="20"/>
        </w:rPr>
      </w:pPr>
      <w:r>
        <w:rPr>
          <w:rFonts w:ascii="arial" w:hAnsi="arial"/>
          <w:i/>
          <w:sz w:val="20"/>
        </w:rPr>
        <w:t>Ultra-high sensitivity.</w:t>
      </w:r>
      <w:r>
        <w:rPr>
          <w:rFonts w:ascii="arial" w:hAnsi="arial"/>
          <w:sz w:val="20"/>
        </w:rPr>
        <w:t xml:space="preserve"> NULISA achieves limits of detection in the attomolar range, enabling the quantification of proteins present at extremely low concentrations and identifying targets that are often missed by other technologies. Importantly, NULISA’s background noise suppression allows us to maintain this exceptional sensitivity even as we scale to high levels of multiplexing, enabling reliable detection across hundreds to thousands of analytes in a single assay. This unique combination of sensitivity and multiplexing empowers early disease detection and supports longitudinal modeling, providing researchers with the ability to track subtle biomarker changes over time and across diverse patient populations.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High specificity.</w:t>
      </w:r>
      <w:r>
        <w:rPr>
          <w:rFonts w:ascii="arial" w:hAnsi="arial"/>
          <w:sz w:val="20"/>
        </w:rPr>
        <w:t xml:space="preserve"> NULISA achieves high specificity through a proprietary four-level specificity control system that enables proteoform detection, including differentiating splice variants, single amino acid changes and post-translational modifications with high selectivity. Our multi-tiered approach to specificity is designed to not only ensure that only true binding events are amplified and detected, but also to enable the ability to differentiate splice variants, single amino acid changes and post-translational modifications with high confidence. First, the assay utilizes pairs of antibodies that must both recognize and bind to distinct epitopes on the target protein, dramatically reducing the likelihood of off-target interactions. Second, NULISA incorporates an immunocomplex purification strategy to remove background noise. Third, NULISA employs oligonucleotide barcodes and proximity ligation, ensuring that only antibody pairs brought into close proximity by binding the same protein can generate a detectable DNA reporter molecule, while unbound or non-specifically bound antibodies are washed away. Fourth, the reporter DNA contains both sample-specific and target-specific barcodes. Sequencing data is processed by matching these barcodes to known valid pairs and removes any signals from incorrect antibody pairs. The power of this specificity is exemplified in NULISA’s capability to measure single amino acid change in our APOE4 assay and post-translational modification in BD-pTau217 assay. </w:t>
      </w:r>
    </w:p>
    <w:p>
      <w:pPr>
        <w:pStyle w:val="TextBody"/>
        <w:bidi w:val="0"/>
        <w:spacing w:before="160" w:after="0"/>
        <w:jc w:val="left"/>
        <w:rPr>
          <w:rFonts w:ascii="arial" w:hAnsi="arial"/>
          <w:sz w:val="20"/>
        </w:rPr>
      </w:pPr>
      <w:r>
        <w:rPr>
          <w:rFonts w:ascii="arial" w:hAnsi="arial"/>
          <w:i/>
          <w:sz w:val="20"/>
        </w:rPr>
        <w:t>Flexible multiplexing.</w:t>
      </w:r>
      <w:r>
        <w:rPr>
          <w:rFonts w:ascii="arial" w:hAnsi="arial"/>
          <w:sz w:val="20"/>
        </w:rPr>
        <w:t xml:space="preserve"> We designed NULISA to be inherently multiplexed, supporting the simultaneous measurement of up to 6,000 protein targets in a single assay. By using unique oligonucleotide barcodes for each antibody pair, we can discriminate and quantify thousands of proteins and proteoforms, including isoforms, splice variants, and post-translational modifications. This multiplexing capability does not compromise sensitivity or specificity, allowing us to perform broad, hypothesis-free discovery and focused validation within the same platform. This seamless transition from high-plex discovery to targeted analysis enables researchers to conduct translational studies that bridge research and clinical application, accelerating the development and validation of biomarker signatures that may ultimately become clinical assays for disease detection and monitoring. </w:t>
      </w:r>
    </w:p>
    <w:p>
      <w:pPr>
        <w:pStyle w:val="TextBody"/>
        <w:bidi w:val="0"/>
        <w:spacing w:before="160" w:after="0"/>
        <w:jc w:val="left"/>
        <w:rPr>
          <w:rFonts w:ascii="arial" w:hAnsi="arial"/>
          <w:sz w:val="20"/>
        </w:rPr>
      </w:pPr>
      <w:r>
        <w:rPr>
          <w:rFonts w:ascii="arial" w:hAnsi="arial"/>
          <w:i/>
          <w:sz w:val="20"/>
        </w:rPr>
        <w:t>Broad dynamic range.</w:t>
      </w:r>
      <w:r>
        <w:rPr>
          <w:rFonts w:ascii="arial" w:hAnsi="arial"/>
          <w:sz w:val="20"/>
        </w:rPr>
        <w:t xml:space="preserve"> The dynamic range of our assay spans up to 12 logs, enabling quantification of both low- and high-abundance protein targets in a single reaction without the need for sample dilution or manipulation. Unlike competing platforms that rely on multiple sample dilution levels to extend their range, our proprietary process relies on tuning down assay sensitivity for high-abundance protein targets to generate the same level of signal as low-abundance protein targets so that they can be measured in a single assay reaction. This wide dynamic range without dilution is critical for capturing the full spectrum of biological variation and disease-relevant biomarkers while simplifying the workflow and maximizing sample utilization. </w:t>
      </w:r>
    </w:p>
    <w:p>
      <w:pPr>
        <w:pStyle w:val="TextBody"/>
        <w:bidi w:val="0"/>
        <w:spacing w:before="160" w:after="0"/>
        <w:jc w:val="left"/>
        <w:rPr>
          <w:rFonts w:ascii="arial" w:hAnsi="arial"/>
          <w:sz w:val="20"/>
        </w:rPr>
      </w:pPr>
      <w:r>
        <w:rPr>
          <w:rFonts w:ascii="arial" w:hAnsi="arial"/>
          <w:i/>
          <w:sz w:val="20"/>
        </w:rPr>
        <w:t>Seamless automation.</w:t>
      </w:r>
      <w:r>
        <w:rPr>
          <w:rFonts w:ascii="arial" w:hAnsi="arial"/>
          <w:sz w:val="20"/>
        </w:rPr>
        <w:t xml:space="preserve"> Our fully automated ARGO HT System integrates all steps of the NULISA assay into a simple workflow. After less than 30 minutes of hands-on time for sample and reagent loading which requires minimal training, the instrument executes the entire protocol, including binding, washing, ligation, amplification and data analysis. The ARGO HT System supports multiple assay formats and can process up to three plates, each with different panels or protocols. Data analysis is performed via cloud-based or on-premise software, delivering rapid and actionable insights. The modular design of our ARGO HT instrument allows for rapid protocol updates and minimizes downtime, while our fully kitted reagents and consumables streamline the workflow and greatly reduce the potential for user error. This high level of automation directly supports the precision and reproducibility of our platform, with our NULISA technology consistently achieving low coefficients of variability across intra-plate, inter-plate, inter-instrument and inter-site measurements. </w:t>
      </w:r>
    </w:p>
    <w:p>
      <w:pPr>
        <w:pStyle w:val="TextBody"/>
        <w:bidi w:val="0"/>
        <w:spacing w:before="160" w:after="0"/>
        <w:jc w:val="left"/>
        <w:rPr>
          <w:rFonts w:ascii="arial" w:hAnsi="arial"/>
          <w:sz w:val="20"/>
        </w:rPr>
      </w:pPr>
      <w:r>
        <w:rPr>
          <w:rFonts w:ascii="arial" w:hAnsi="arial"/>
          <w:sz w:val="20"/>
        </w:rPr>
        <w:t xml:space="preserve">We believe our NULISA technology addresses all these key existing limitations to deliver Precision Proteomics, unlocking the full potential of measuring protein biomarker complexity. We are excited about the role Alamar will play in enabling widespread use of protein biomarkers for discovery, translation and potential clinical diagnostics.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Accelerating AI in life sciences </w:t>
      </w:r>
    </w:p>
    <w:p>
      <w:pPr>
        <w:pStyle w:val="TextBody"/>
        <w:bidi w:val="0"/>
        <w:spacing w:before="160" w:after="0"/>
        <w:jc w:val="left"/>
        <w:rPr>
          <w:rFonts w:ascii="arial" w:hAnsi="arial"/>
          <w:sz w:val="20"/>
        </w:rPr>
      </w:pPr>
      <w:r>
        <w:rPr>
          <w:rFonts w:ascii="arial" w:hAnsi="arial"/>
          <w:sz w:val="20"/>
        </w:rPr>
        <w:t xml:space="preserve">We believe high-quality, well-annotated biological data generated through our Precision Proteomics platform will play an important role in powering the emerging generation of foundational AI models in life sciences. Foundational models require massive volumes of consistent, reproducible and biologically rich datasets to learn complex cellular behaviors, detect subtle phenotypic changes and generalize across disease contexts. Our platform uniquely positions customers to generate this class of data by combining attomolar sensitivity with automated, high-throughput processing, enabling researchers to detect low-abundance proteins in accessible sample types such as blood and plasma that other platforms may not reliably measure. The end-to-end automation of our platform delivers the cross-run and cross-site reproducibility that transforms individually generated datasets into a standardized, biologically rich resource, which is exactly the kind of input that enables AI models to move beyond pattern recognition toward true biological insight and predictive accuracy. As AI becomes more deeply integrated into life sciences R&amp;D workflows, the quality, accessibility and reproducibility of the underlying proteomic data will determine the performance ceiling of these models, and we believe our Precision Proteomics platform is the only technology available today that empowers researchers to generate data with the sensitivity, scale and consistency that precision medicine demands. </w:t>
      </w:r>
    </w:p>
    <w:p>
      <w:pPr>
        <w:pStyle w:val="TextBody"/>
        <w:bidi w:val="0"/>
        <w:spacing w:before="320" w:after="0"/>
        <w:jc w:val="left"/>
        <w:rPr>
          <w:rFonts w:ascii="arial" w:hAnsi="arial"/>
          <w:b/>
          <w:i/>
          <w:sz w:val="20"/>
        </w:rPr>
      </w:pPr>
      <w:r>
        <w:rPr>
          <w:rFonts w:ascii="arial" w:hAnsi="arial"/>
          <w:b/>
          <w:i/>
          <w:sz w:val="20"/>
        </w:rPr>
        <w:t xml:space="preserve">Our Attobody technology </w:t>
      </w:r>
    </w:p>
    <w:p>
      <w:pPr>
        <w:pStyle w:val="TextBody"/>
        <w:bidi w:val="0"/>
        <w:spacing w:before="160" w:after="0"/>
        <w:jc w:val="left"/>
        <w:rPr>
          <w:rFonts w:ascii="arial" w:hAnsi="arial"/>
          <w:sz w:val="20"/>
        </w:rPr>
      </w:pPr>
      <w:r>
        <w:rPr>
          <w:rFonts w:ascii="arial" w:hAnsi="arial"/>
          <w:sz w:val="20"/>
        </w:rPr>
        <w:t xml:space="preserve">In addition to our NULISA technology, we have developed our Attobody technology, which is a novel and proprietary antibody discovery platform designed to generate next-generation affinity reagents with predefined functional and developability characteristics directly from discovery screening, without the need for iterative affinity maturation. The technology integrates a rational design framework with an evolution-driven, high-throughput engineering process to enable the rapid identification of differentiated binding molecules. We believe that our Attobody technology provides several key properties for the creation of differentiated discovery, diagnostic and therapeutic reagents and has been used to develop a number of attobodies that are used in NULISA assays. </w:t>
      </w:r>
    </w:p>
    <w:p>
      <w:pPr>
        <w:pStyle w:val="TextBody"/>
        <w:bidi w:val="0"/>
        <w:spacing w:before="160" w:after="0"/>
        <w:jc w:val="left"/>
        <w:rPr>
          <w:rFonts w:ascii="arial" w:hAnsi="arial"/>
          <w:sz w:val="20"/>
        </w:rPr>
      </w:pPr>
      <w:r>
        <w:rPr>
          <w:rFonts w:ascii="arial" w:hAnsi="arial"/>
          <w:sz w:val="20"/>
        </w:rPr>
        <w:t xml:space="preserve">Each Attobody is a bi-paratopic construct composed of two heavy-chain antibody variable domains (also known as VHHs, or nanobodies, which are the smallest naturally occurring antibody fragments that are utilized in our Attobody platform for their exceptional stability and ability to reach difficult protein targets) targeting distinct epitopes on a single antigen and connected by a proprietary peptide-based linker, to increase binding strength and specificity. Through the screening of millions of combinations of nanobodies and linkers in each campaign, the Attobody platform enables the selection of binders that conform to a desired set of precision-design properties, including binding potency, specificity and other biochemical behavior. </w:t>
      </w:r>
    </w:p>
    <w:p>
      <w:pPr>
        <w:pStyle w:val="TextBody"/>
        <w:bidi w:val="0"/>
        <w:spacing w:before="160" w:after="0"/>
        <w:jc w:val="left"/>
        <w:rPr>
          <w:rFonts w:ascii="arial" w:hAnsi="arial"/>
          <w:sz w:val="20"/>
        </w:rPr>
      </w:pPr>
      <w:r>
        <w:rPr>
          <w:rFonts w:ascii="arial" w:hAnsi="arial"/>
          <w:sz w:val="20"/>
        </w:rPr>
        <w:t xml:space="preserve">Attobodies have two key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Picomolar-affinity</w:t>
            </w:r>
            <w:r>
              <w:rPr>
                <w:rFonts w:ascii="arial" w:hAnsi="arial"/>
                <w:sz w:val="20"/>
              </w:rPr>
              <w:t xml:space="preserve"> against the target molecule, driven by the synergistic effects of bi-paratopic binding to two distinct epitopes.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Intrinsic target specificity</w:t>
            </w:r>
            <w:r>
              <w:rPr>
                <w:rFonts w:ascii="arial" w:hAnsi="arial"/>
                <w:sz w:val="20"/>
              </w:rPr>
              <w:t xml:space="preserve">, resulting from the requirement for simultaneous co-binding of the individual nanobody domains. </w:t>
            </w:r>
          </w:p>
        </w:tc>
      </w:tr>
    </w:tbl>
    <w:p>
      <w:pPr>
        <w:pStyle w:val="TextBody"/>
        <w:bidi w:val="0"/>
        <w:spacing w:before="160" w:after="0"/>
        <w:jc w:val="left"/>
        <w:rPr>
          <w:rFonts w:ascii="arial" w:hAnsi="arial"/>
          <w:sz w:val="20"/>
        </w:rPr>
      </w:pPr>
      <w:r>
        <w:rPr>
          <w:rFonts w:ascii="arial" w:hAnsi="arial"/>
          <w:sz w:val="20"/>
        </w:rPr>
        <w:t xml:space="preserve">Our Attobody technology offers additional attributes that we believe may be particularly valuable for therapeutic development. </w:t>
      </w:r>
    </w:p>
    <w:p>
      <w:pPr>
        <w:pStyle w:val="TextBody"/>
        <w:bidi w:val="0"/>
        <w:spacing w:before="160" w:after="0"/>
        <w:jc w:val="left"/>
        <w:rPr>
          <w:rFonts w:ascii="arial" w:hAnsi="arial"/>
          <w:sz w:val="20"/>
        </w:rPr>
      </w:pPr>
      <w:r>
        <w:rPr>
          <w:rFonts w:ascii="arial" w:hAnsi="arial"/>
          <w:sz w:val="20"/>
        </w:rPr>
        <w:t xml:space="preserve">We have completed discovery campaigns against a range of target classes, including cytokines and cell-surface proteins, with each campaign yielding Attobody molecules that met predefined diagnostic or potentially therapeutic characteristics.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License to Attovia Therapeutics.</w:t>
      </w:r>
      <w:r>
        <w:rPr>
          <w:rFonts w:ascii="arial" w:hAnsi="arial"/>
          <w:sz w:val="20"/>
        </w:rPr>
        <w:t xml:space="preserve"> To focus our internal resources on our core research and potential diagnostic markets, while enabling therapeutic development by a dedicated partner, we exclusively licensed the therapeutic rights to the Attobody platform to Attovia Therapeutics. For more information regarding our agreements and transactions with Attovia Therapeutics, see the section titled “Certain relationships and related person transactions—Agreements and transactions with Attovia.” </w:t>
      </w:r>
    </w:p>
    <w:p>
      <w:pPr>
        <w:pStyle w:val="TextBody"/>
        <w:bidi w:val="0"/>
        <w:spacing w:before="320" w:after="0"/>
        <w:jc w:val="left"/>
        <w:rPr>
          <w:rFonts w:ascii="arial" w:hAnsi="arial"/>
          <w:b/>
          <w:sz w:val="24"/>
        </w:rPr>
      </w:pPr>
      <w:r>
        <w:rPr>
          <w:rFonts w:ascii="arial" w:hAnsi="arial"/>
          <w:b/>
          <w:sz w:val="24"/>
        </w:rPr>
        <w:t xml:space="preserve">Our solution </w:t>
      </w:r>
    </w:p>
    <w:p>
      <w:pPr>
        <w:pStyle w:val="TextBody"/>
        <w:bidi w:val="0"/>
        <w:spacing w:before="160" w:after="0"/>
        <w:jc w:val="left"/>
        <w:rPr>
          <w:rFonts w:ascii="arial" w:hAnsi="arial"/>
          <w:sz w:val="20"/>
        </w:rPr>
      </w:pPr>
      <w:r>
        <w:rPr>
          <w:rFonts w:ascii="arial" w:hAnsi="arial"/>
          <w:sz w:val="20"/>
        </w:rPr>
        <w:t xml:space="preserve">Our platform is a fully integrated and fully automated proteomic analysis solution built around our NULISA technology. It is comprised of proprietary instruments, consumables and analytical software, enabling data analysis for biological insights. The platform was developed to serve the basic discovery to potential clinical diagnostics continuum: from enabling research scientists to seamlessly detect low-abundance protein targets from multiplex discovery, to characterize their effects in translational research and, ultimately, for the future development of single-plex and multiplex diagnostics.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18935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2150" cy="18935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320" w:after="0"/>
        <w:jc w:val="left"/>
        <w:rPr>
          <w:rFonts w:ascii="arial" w:hAnsi="arial"/>
          <w:b/>
          <w:i/>
          <w:sz w:val="20"/>
        </w:rPr>
      </w:pPr>
      <w:r>
        <w:rPr>
          <w:rFonts w:ascii="arial" w:hAnsi="arial"/>
          <w:b/>
          <w:i/>
          <w:sz w:val="20"/>
        </w:rPr>
        <w:t xml:space="preserve">ARGO HT System </w:t>
      </w:r>
    </w:p>
    <w:p>
      <w:pPr>
        <w:pStyle w:val="TextBody"/>
        <w:bidi w:val="0"/>
        <w:spacing w:before="160" w:after="0"/>
        <w:jc w:val="left"/>
        <w:rPr>
          <w:rFonts w:ascii="arial" w:hAnsi="arial"/>
          <w:sz w:val="20"/>
        </w:rPr>
      </w:pPr>
      <w:r>
        <w:rPr>
          <w:rFonts w:ascii="arial" w:hAnsi="arial"/>
          <w:sz w:val="20"/>
        </w:rPr>
        <w:t xml:space="preserve">Our current instrument, the ARGO HT System, was launched in January 2024 as an RUO testing platform and is designed to fully automate high-sensitivity and high-plex proteomic analysis. It is an ISO 13485 compliant benchtop instrument, supporting both high-plex discovery and targeted clinical applications using NGS or qPCR detection formats, without compromising sensitivity or specificity.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46320" cy="19608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846320" cy="196088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The system is designed for true walk-away automation, requiring less than 30 minutes of hands-on time. Our instrument can complete a full run in under eight hours and, with the addition of an external sequencing step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multiplexing, results are available in as few as sixteen hours. We believe our platform is compatible with a number of commercially available sequencing systems, providing customers with flexibility to choose their sequencer of choice, either in house or using a third-party provider. </w:t>
      </w:r>
    </w:p>
    <w:p>
      <w:pPr>
        <w:pStyle w:val="TextBody"/>
        <w:bidi w:val="0"/>
        <w:spacing w:before="160" w:after="0"/>
        <w:jc w:val="left"/>
        <w:rPr>
          <w:rFonts w:ascii="arial" w:hAnsi="arial"/>
          <w:sz w:val="20"/>
        </w:rPr>
      </w:pPr>
      <w:r>
        <w:rPr>
          <w:rFonts w:ascii="arial" w:hAnsi="arial"/>
          <w:sz w:val="20"/>
        </w:rPr>
        <w:t xml:space="preserve">Scientists and clinicians can process up to 288 samples per run (including controls). Samples are loaded via standard 96-well microtiter plates, and the system can process up to three plates at a time. Reagents are fully kitted and can be loaded onto a carrier with a universal form factor for efficient machine handling. A convenient consumable pack enables the combination of seven items in one loading action. This minimal intervention design is further enhanced with a barcode-controlled protocol that greatly reduces the chance of user error. </w:t>
      </w:r>
    </w:p>
    <w:p>
      <w:pPr>
        <w:pStyle w:val="TextBody"/>
        <w:bidi w:val="0"/>
        <w:spacing w:before="160" w:after="0"/>
        <w:jc w:val="left"/>
        <w:rPr>
          <w:rFonts w:ascii="arial" w:hAnsi="arial"/>
          <w:sz w:val="20"/>
        </w:rPr>
      </w:pPr>
      <w:r>
        <w:rPr>
          <w:rFonts w:ascii="arial" w:hAnsi="arial"/>
          <w:sz w:val="20"/>
        </w:rPr>
        <w:t xml:space="preserve">Our ARGO HT instrument is currently available for research use only. We plan to complement this current offering with the launch of the ARGO HT/DX system for dedicated clinical analysis. Additionally, to further expand our customer reach, we are exploring the development of another lower-cost instrument targeting researchers at individual laboratory settings. </w:t>
      </w:r>
    </w:p>
    <w:p>
      <w:pPr>
        <w:pStyle w:val="TextBody"/>
        <w:bidi w:val="0"/>
        <w:spacing w:before="320" w:after="0"/>
        <w:jc w:val="left"/>
        <w:rPr>
          <w:rFonts w:ascii="arial" w:hAnsi="arial"/>
          <w:b/>
          <w:i/>
          <w:sz w:val="20"/>
        </w:rPr>
      </w:pPr>
      <w:r>
        <w:rPr>
          <w:rFonts w:ascii="arial" w:hAnsi="arial"/>
          <w:b/>
          <w:i/>
          <w:sz w:val="20"/>
        </w:rPr>
        <w:t xml:space="preserve">Consumables </w:t>
      </w:r>
    </w:p>
    <w:p>
      <w:pPr>
        <w:pStyle w:val="TextBody"/>
        <w:bidi w:val="0"/>
        <w:spacing w:before="160" w:after="0"/>
        <w:jc w:val="left"/>
        <w:rPr>
          <w:rFonts w:ascii="arial" w:hAnsi="arial"/>
          <w:sz w:val="20"/>
        </w:rPr>
      </w:pPr>
      <w:r>
        <w:rPr>
          <w:rFonts w:ascii="arial" w:hAnsi="arial"/>
          <w:sz w:val="20"/>
        </w:rPr>
        <w:t xml:space="preserve">We deliver highly differentiated, disease-focused assays designed for the detection of specific proteins of interest. Our assay menu is developed in close collaboration with leading scientists to address the most pressing needs in biomedical research. Our current offerings focus on key biomarkers in neurology and immunology, with additional panels in development for cardiovascular disease, metabolic disease, oncology and health monitoring. </w:t>
      </w:r>
    </w:p>
    <w:p>
      <w:pPr>
        <w:pStyle w:val="TextBody"/>
        <w:bidi w:val="0"/>
        <w:spacing w:before="160" w:after="0"/>
        <w:jc w:val="left"/>
        <w:rPr>
          <w:rFonts w:ascii="arial" w:hAnsi="arial"/>
          <w:sz w:val="20"/>
        </w:rPr>
      </w:pPr>
      <w:r>
        <w:rPr>
          <w:rFonts w:ascii="arial" w:hAnsi="arial"/>
          <w:sz w:val="20"/>
        </w:rPr>
        <w:t xml:space="preserve">Our assays are available as single-plex or multiplex panels and include a unique target kit for protein-specific measurement and a universal detection kit for the NULISA protocol. The detection kits are generalizable across different targets but are tailored to the assay readout, enabling seamless sample-to-answer results for single and low-plex qPCR assays, or generating NGS libraries ready for high-plex sequencing applications. We provide all the necessary consumables to run on the ARGO HT System, including optimized buffers and specialized plastic ware. Most reagents come kitted in a lyophilized format to provide additional stability, reduce shipping costs and environmental burden associated with dry ice. </w:t>
      </w:r>
    </w:p>
    <w:p>
      <w:pPr>
        <w:pStyle w:val="TextBody"/>
        <w:bidi w:val="0"/>
        <w:spacing w:before="320" w:after="0"/>
        <w:jc w:val="left"/>
        <w:rPr>
          <w:rFonts w:ascii="arial" w:hAnsi="arial"/>
          <w:i/>
          <w:sz w:val="20"/>
        </w:rPr>
      </w:pPr>
      <w:r>
        <w:rPr>
          <w:rFonts w:ascii="arial" w:hAnsi="arial"/>
          <w:i/>
          <w:sz w:val="20"/>
        </w:rPr>
        <w:t xml:space="preserve">Menu of assays </w:t>
      </w:r>
    </w:p>
    <w:p>
      <w:pPr>
        <w:pStyle w:val="TextBody"/>
        <w:bidi w:val="0"/>
        <w:spacing w:before="160" w:after="0"/>
        <w:jc w:val="left"/>
        <w:rPr>
          <w:rFonts w:ascii="arial" w:hAnsi="arial"/>
          <w:sz w:val="20"/>
        </w:rPr>
      </w:pPr>
      <w:r>
        <w:rPr>
          <w:rFonts w:ascii="arial" w:hAnsi="arial"/>
          <w:sz w:val="20"/>
        </w:rPr>
        <w:t xml:space="preserve">We offer high-plex panels for targeted discovery research applications,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NULISAseq CNS Disease Panel 120. This panel is uniquely positioned to advance neurodegenerative disease research by simultaneously profiling more than 120 proteins associated with a broad range of neurological disorders. This panel stands out as the first multiplexed assay with the sensitivity to detect critical targets such as brain-derived phosphorylated Tau217 (BD-pTau217), a key marker in Alzheimer’s disease and other neurodegenerative conditions. BD-pTau217 detection enables more precise and clinically relevant insights from blood.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NULISAseq Neuro 220 Panel. Launched in March 2026, this panel expands on our CNS Disease 120 offering new biomarkers applicable to a broad range of neurological disorders including Alzheimer’s disease, Parkinson’s disease, multiple sclerosis, various forms of dementia, Huntington’s disease, gliomas and traumatic brain injury. It features new biomarker content developed in partnership with The Michael J. Fox Foundation (MJFF) for Parkinson’s disease research as well as a substantial collection of pTau assays, targeting both brain-derived and total tau isoforms for Alzheimer’s disease research.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NULISAseq Inflammation Panel 250. This panel is designed to provide the most comprehensive coverage of inflammatory pathways and enables researchers to decode complex inflammatory processes across a range of diseases including infectious disease, immunology, autoimmunity, allergy and asthma, immuno-oncology, respiratory disease and chronic obstructive pulmonary disease. To further expand its utility, the NULISAseq Inflammation Panel AQ offers the largest protein panel with absolute quantitation with approximately 95% quantifiability in plasma samples, empowering clinical cohorts to compare biomarker levels over time and across studies with confidence.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NULISAseq Mouse Panel 120. This is the broadest multiplexed protein panel available for mouse models. It covers essential pathways involved in inflammation, neurodegeneration and oncogenesis, facilitating robust translation between preclinical and clinical studies and supporting the development of new therapeutic strategies. </w:t>
            </w:r>
          </w:p>
        </w:tc>
      </w:tr>
    </w:tbl>
    <w:p>
      <w:pPr>
        <w:pStyle w:val="TextBody"/>
        <w:bidi w:val="0"/>
        <w:spacing w:before="160" w:after="0"/>
        <w:jc w:val="left"/>
        <w:rPr>
          <w:rFonts w:ascii="arial" w:hAnsi="arial"/>
          <w:sz w:val="20"/>
        </w:rPr>
      </w:pPr>
      <w:r>
        <w:rPr>
          <w:rFonts w:ascii="arial" w:hAnsi="arial"/>
          <w:sz w:val="20"/>
        </w:rPr>
        <w:t xml:space="preserve">We also offer low-plex and custom panels for translational and clinical research applications,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NULISAqpcr Single-Plex Assays. NULISAqpcr is a single-plex or low-plex assay format within our NULISA technology that uses quantitative polymerase chain reaction (qPCR) for quantitative read out. Our single plex assays provide precise quantification of key individual biomarkers, even at extremely low concentrations of biofluid samples, making them ideal for research and potential clinical applications. For example, our Brain-Derived phosphorylated Tau 217 (BD-pTau217) test detects a highly specific marker for Alzheimer’s disease and related tauopathies, a group of neurodegenerative diseases characterized by pathologic tau protein aggregation in the brain, including Alzheimer’s disease, reflecting pathological changes that occur in the brain. Historically, detecting BD-pTau in blood has been exceptionally challenging due to its low abundance and co-detection of peripheral pTau, which can increase noise. Our proprietary assay delivers high sensitivity and specificity, along with a broad dynamic range, ensuring reliable and accurate measurement of BD-pTau217 in non-invasive samples such as blood. Additional single-plex assays include Neurofilament light (“NfL”), a marker for diagnosing and tracking the progression of neurodegeneration, and Interleukin-1 beta, a very low abundance but key marker for various inflammatory diseases. These breakthrough assays are opening new possibilities for early diagnosis, disease monitoring and therapeutic development in areas with high unmet medical need.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NULISAqpcr Alzheimer’s Disease 5plex. Launched in March 2026, this panel enables the multiplexed analysis of five critical blood-based biomarkers relevant to the Alzheimer’s Association recommended guidelines, BD-pTau217, NfL, Abeta42, GFAP and APOE4, within a single and automated assay. This provides scientists with a cost-effective and sample-efficient method for clinical research, allowing simultaneous measurement of multiple critical biomarkers associated with Alzheimer’s disease and related disorders.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Custom Assay Development Kit. Our custom kits offer researchers the flexibility to create targeted biomarker assays with the same performance as our standard NULISA assays. This kit empowers users to develop and validate custom immunoassays for their specific biomarkers of interest, supporting a seamless transition from discovery to clinical validation. Such use can expand our ecosystem and establish Alamar as the partner of choice for proteomic research and, potentially, targeted clinical assay innovation. </w:t>
            </w:r>
          </w:p>
        </w:tc>
      </w:tr>
    </w:tbl>
    <w:p>
      <w:pPr>
        <w:pStyle w:val="TextBody"/>
        <w:bidi w:val="0"/>
        <w:spacing w:before="320" w:after="0"/>
        <w:jc w:val="left"/>
        <w:rPr>
          <w:rFonts w:ascii="arial" w:hAnsi="arial"/>
          <w:b/>
          <w:i/>
          <w:sz w:val="20"/>
        </w:rPr>
      </w:pPr>
      <w:r>
        <w:rPr>
          <w:rFonts w:ascii="arial" w:hAnsi="arial"/>
          <w:b/>
          <w:i/>
          <w:sz w:val="20"/>
        </w:rPr>
        <w:t xml:space="preserve">Software </w:t>
      </w:r>
    </w:p>
    <w:p>
      <w:pPr>
        <w:pStyle w:val="TextBody"/>
        <w:bidi w:val="0"/>
        <w:spacing w:before="160" w:after="0"/>
        <w:jc w:val="left"/>
        <w:rPr>
          <w:rFonts w:ascii="arial" w:hAnsi="arial"/>
          <w:sz w:val="20"/>
        </w:rPr>
      </w:pPr>
      <w:r>
        <w:rPr>
          <w:rFonts w:ascii="arial" w:hAnsi="arial"/>
          <w:sz w:val="20"/>
        </w:rPr>
        <w:t xml:space="preserve">Data analysis and software capabilities are integral to our platform, by enabling users to move efficiently from experimental setup to actionable biological insights. Our proprietary software controls the instrument, manages protocol execution and provides users with comprehensive data analysis, converting raw assay signals into quantitative concentrations for each protein target. We are committed to data security and have undergone an independent SOC 2 audit, confirming our controls for security, availability and confidentiality.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With the ARGO HT System, researchers begin by using integrated software, which is designed to be compliant with the FDA’s regulations governing electronic record requirements (21 CFR part 11, an FDA regulation that defines when electronic records and electronic signatures are considered trustworthy, reliable and generally equivalent to paper records and handwritten signatures for FDA-regulated activities (e.g., requiring controls like system validation, audit trails, access/ security and record retention)), for seamless experiment design and instrument operation. As data is acquired, our cloud-based and on-premise analytical tools automatically handle normalization, quality control and conversion of raw signals into precise quantitative results, even for high-plex assays involving hundreds or thousands of analytes. Built-in visualization and customizable analytics allow users to interpret and share results easily, while open-source packages support advanced analyses and integration with multi-omics datasets. This comprehensive and intuitive software environment ensures data integrity and reproducibility, empowering researchers to accelerate biomarker discovery and translate findings from basic discovery to potential clinical diagnostics. </w:t>
      </w:r>
    </w:p>
    <w:p>
      <w:pPr>
        <w:pStyle w:val="TextBody"/>
        <w:bidi w:val="0"/>
        <w:spacing w:before="320" w:after="0"/>
        <w:jc w:val="left"/>
        <w:rPr>
          <w:rFonts w:ascii="arial" w:hAnsi="arial"/>
          <w:b/>
          <w:i/>
          <w:sz w:val="20"/>
        </w:rPr>
      </w:pPr>
      <w:r>
        <w:rPr>
          <w:rFonts w:ascii="arial" w:hAnsi="arial"/>
          <w:b/>
          <w:i/>
          <w:sz w:val="20"/>
        </w:rPr>
        <w:t xml:space="preserve">Services </w:t>
      </w:r>
    </w:p>
    <w:p>
      <w:pPr>
        <w:pStyle w:val="TextBody"/>
        <w:bidi w:val="0"/>
        <w:spacing w:before="160" w:after="0"/>
        <w:jc w:val="left"/>
        <w:rPr>
          <w:rFonts w:ascii="arial" w:hAnsi="arial"/>
          <w:sz w:val="20"/>
        </w:rPr>
      </w:pPr>
      <w:r>
        <w:rPr>
          <w:rFonts w:ascii="arial" w:hAnsi="arial"/>
          <w:sz w:val="20"/>
        </w:rPr>
        <w:t xml:space="preserve">Our services are anchored by our Technology Access Program (“TAP”), which introduces new and prospective customers to our platform and provides access to our latest innovations. TAP is a white-glove offering in which our scientists collaborate closely with customers to design experiments, run samples, and perform primary data analysis. This support ensures an exceptional first-time experience with our platform and enables rapid data turnaround, highlighting the platform’s ease and efficiency of data generation. Through TAP, we also work closely with biopharmaceutical companies and other customers to develop custom assays aligned with emerging research priorities and therapeutic areas, generating valuable insights into relevant biomarkers and disease mechanisms. The program also supports early product testing and beta evaluations, allowing customers to assess new panels and assays prior to commercial availability. For standard products, we connect customers with our growing network of service providers and contract research organizations. In addition to TAP, each instrument is supported by a comprehensive suite of service packages—including installation, training, technical support, and warranty options—to ensure optimal performance and long-term customer satisfaction.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Our market opportunity </w:t>
      </w:r>
    </w:p>
    <w:p>
      <w:pPr>
        <w:pStyle w:val="TextBody"/>
        <w:bidi w:val="0"/>
        <w:spacing w:before="160" w:after="0"/>
        <w:jc w:val="left"/>
        <w:rPr>
          <w:rFonts w:ascii="arial" w:hAnsi="arial"/>
          <w:sz w:val="20"/>
        </w:rPr>
      </w:pPr>
      <w:r>
        <w:rPr>
          <w:rFonts w:ascii="arial" w:hAnsi="arial"/>
          <w:sz w:val="20"/>
        </w:rPr>
        <w:t xml:space="preserve">We believe our technology is well-suited to address large and growing markets across proteomics research and protein-based clinical diagnostics. We estimate these markets are nearly $50 billion today, consisting of approximately $19 billion from proteomics research and over $30 billion from immunoassays.1,2 Together, we expect these markets can grow to nearly $80 billion over the next decade.3 </w:t>
      </w:r>
    </w:p>
    <w:p>
      <w:pPr>
        <w:pStyle w:val="TextBody"/>
        <w:bidi w:val="0"/>
        <w:spacing w:before="160" w:after="0"/>
        <w:jc w:val="left"/>
        <w:rPr>
          <w:rFonts w:ascii="arial" w:hAnsi="arial"/>
          <w:sz w:val="20"/>
        </w:rPr>
      </w:pPr>
      <w:r>
        <w:rPr>
          <w:rFonts w:ascii="arial" w:hAnsi="arial"/>
          <w:sz w:val="20"/>
        </w:rPr>
        <w:t xml:space="preserve">The research and clinical diagnostics markets are deeply interconnected as new discoveries in basic research fuel more translational applications, which may lead to the validation of potential clinical diagnostic assays. In turn, the emergence of new protein-based clinical diagnostic tests across a growing number of disease areas is expected to encourage further research to discover additional biomarkers for future clinical use.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21259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91200" cy="212598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Advanced protein analysis, or advanced proteomics, is the fastest growing segment of the proteomics research market powered by next-generation tools that enable multiplex protein detection and/or ultra-sensitive measurement. We believe these tools will expand the use of clinically relevant protein biomarkers into advanced proteomics clinical diagnostics. We estimate the advanced proteomics market segment to be approximately $4.1 billion today and believe this market segment can grow to approximately $20 billion over the next decade.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Proteomics Market Size &amp; Growth Forecast to 2030,</w:t>
            </w:r>
            <w:r>
              <w:rPr/>
              <w:t xml:space="preserve"> March 2026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2 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Precedence Research, </w:t>
            </w:r>
            <w:r>
              <w:rPr>
                <w:i/>
              </w:rPr>
              <w:t>Immunoassay Market Size, Share and Trends 2026 -2035</w:t>
            </w:r>
            <w:r>
              <w:rPr/>
              <w:t xml:space="preserve">, 2025.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We estimate this market by applying an estimated 6% CAGR from MarketsandMarkets to the $19 billion research diagnostics market and 4% CAGR from Precedence Research to the $30 billion immunoassay market today.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Four emerging “megatrends” across healthcare are further accelerating the need for advanced protein analysis tools. These trends include: “protein liquid biopsy” sampling, immune monitoring, chronic disease precision medicine and early disease intervention.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0085" cy="15601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60085" cy="1560195"/>
                    </a:xfrm>
                    <a:prstGeom prst="rect">
                      <a:avLst/>
                    </a:prstGeom>
                  </pic:spPr>
                </pic:pic>
              </a:graphicData>
            </a:graphic>
          </wp:inline>
        </w:drawing>
      </w:r>
      <w:r>
        <w:rPr/>
        <w:t xml:space="preserve"> </w:t>
      </w:r>
    </w:p>
    <w:p>
      <w:pPr>
        <w:pStyle w:val="TextBody"/>
        <w:bidi w:val="0"/>
        <w:spacing w:before="320" w:after="0"/>
        <w:jc w:val="left"/>
        <w:rPr>
          <w:rFonts w:ascii="arial" w:hAnsi="arial"/>
          <w:b/>
          <w:i/>
          <w:sz w:val="20"/>
        </w:rPr>
      </w:pPr>
      <w:r>
        <w:rPr>
          <w:rFonts w:ascii="arial" w:hAnsi="arial"/>
          <w:b/>
          <w:i/>
          <w:sz w:val="20"/>
        </w:rPr>
        <w:t xml:space="preserve">Research market </w:t>
      </w:r>
    </w:p>
    <w:p>
      <w:pPr>
        <w:pStyle w:val="TextBody"/>
        <w:bidi w:val="0"/>
        <w:spacing w:before="160" w:after="0"/>
        <w:jc w:val="left"/>
        <w:rPr>
          <w:rFonts w:ascii="arial" w:hAnsi="arial"/>
          <w:sz w:val="20"/>
        </w:rPr>
      </w:pPr>
      <w:r>
        <w:rPr>
          <w:rFonts w:ascii="arial" w:hAnsi="arial"/>
          <w:sz w:val="20"/>
        </w:rPr>
        <w:t xml:space="preserve">The proteomics research market represents approximately $19 billion4 of global spend today and is split evenly between academic and biopharmaceutical / CRO customers,5 with the United States accounting for approximately 50% of global demand.6 </w:t>
      </w:r>
    </w:p>
    <w:p>
      <w:pPr>
        <w:pStyle w:val="TextBody"/>
        <w:bidi w:val="0"/>
        <w:spacing w:before="160" w:after="0"/>
        <w:jc w:val="left"/>
        <w:rPr>
          <w:rFonts w:ascii="arial" w:hAnsi="arial"/>
          <w:sz w:val="20"/>
        </w:rPr>
      </w:pPr>
      <w:r>
        <w:rPr>
          <w:rFonts w:ascii="arial" w:hAnsi="arial"/>
          <w:sz w:val="20"/>
        </w:rPr>
        <w:t xml:space="preserve">Proteomics research includes basic research, targeted discovery and translation applications. This research utilizes a wide range of technologies, including affinity-based approaches and mass spectrometry for targeted exploration and high-plex discovery research. In basic and targeted discovery, researchers are working to uncover new protein biomarkers and validate their function. In translational applications, researchers work to identify and quantify protein biomarkers that may accelerate drug development, inform clinical trials and enable diagnostic innovations.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6910" cy="20212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56910" cy="202120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Advanced proteomics is the fastest growing segment of the research market powered by next-generation tools that enable multiplex protein detection and/or ultra-sensitive measurement. We estimate the advanced proteomics segment of the research market comprises approximately $3.7 billion of spending today and we expect it can reach up to $11 billion by 2035. We believe growth for the advanced proteomics research market will be fueled by increasing demand for mid- to high-plex solutions, scaling translational applications (including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4 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Proteomics Market Size &amp; Growth Forecast to 2030,</w:t>
            </w:r>
            <w:r>
              <w:rPr/>
              <w:t xml:space="preserve"> March 2026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DeciBio Consulting LLC, </w:t>
            </w:r>
            <w:r>
              <w:rPr>
                <w:i/>
              </w:rPr>
              <w:t>Life Science Research Tools Market Size, Growth, and Trends (2019 - 2027)</w:t>
            </w:r>
            <w:r>
              <w:rPr/>
              <w:t xml:space="preserve">, March 2024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6 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Mass Spectrometry Market Size &amp; Growth Forecast to 2030</w:t>
            </w:r>
            <w:r>
              <w:rPr/>
              <w:t xml:space="preserve">, February 2025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clinical trials and large patient cohorts), and expansion into new therapeutic areas. Because each of these areas requires the combination of ultra-high sensitivity, high specificity, flexible multiplexing, broad dynamic range and seamless automation, we believe our platform is well positioned to unlock this market and capture a significant portion of its expansion. </w:t>
      </w:r>
    </w:p>
    <w:p>
      <w:pPr>
        <w:pStyle w:val="TextBody"/>
        <w:bidi w:val="0"/>
        <w:spacing w:before="320" w:after="0"/>
        <w:jc w:val="left"/>
        <w:rPr>
          <w:rFonts w:ascii="arial" w:hAnsi="arial"/>
          <w:b/>
          <w:i/>
          <w:sz w:val="20"/>
        </w:rPr>
      </w:pPr>
      <w:r>
        <w:rPr>
          <w:rFonts w:ascii="arial" w:hAnsi="arial"/>
          <w:b/>
          <w:i/>
          <w:sz w:val="20"/>
        </w:rPr>
        <w:t xml:space="preserve">Clinical diagnostics </w:t>
      </w:r>
    </w:p>
    <w:p>
      <w:pPr>
        <w:pStyle w:val="TextBody"/>
        <w:bidi w:val="0"/>
        <w:spacing w:before="160" w:after="0"/>
        <w:jc w:val="left"/>
        <w:rPr>
          <w:rFonts w:ascii="arial" w:hAnsi="arial"/>
          <w:sz w:val="20"/>
        </w:rPr>
      </w:pPr>
      <w:r>
        <w:rPr>
          <w:rFonts w:ascii="arial" w:hAnsi="arial"/>
          <w:sz w:val="20"/>
        </w:rPr>
        <w:t xml:space="preserve">The protein-based clinical diagnostics market has traditionally been dominated by in vitro diagnostic immunoassays, representing over $30 billion7 in spending today. Protein-based diagnostics have historically relied on these traditional immunoassays, which are limited in sensitivity and multiplexing capability. As a result, only a small fraction of clinically relevant protein biomarkers is currently used in practice. </w:t>
      </w:r>
    </w:p>
    <w:p>
      <w:pPr>
        <w:pStyle w:val="TextBody"/>
        <w:bidi w:val="0"/>
        <w:spacing w:before="160" w:after="0"/>
        <w:jc w:val="left"/>
        <w:rPr>
          <w:rFonts w:ascii="arial" w:hAnsi="arial"/>
          <w:sz w:val="20"/>
        </w:rPr>
      </w:pPr>
      <w:r>
        <w:rPr>
          <w:rFonts w:ascii="arial" w:hAnsi="arial"/>
          <w:sz w:val="20"/>
        </w:rPr>
        <w:t xml:space="preserve">Next generation sequencing (NGS) has been a major catalyst for growth in the broader clinical diagnostics market. NGS tools have enabled rapid, high throughput analysis of genetic variation and fueling widespread adoption in areas where genetic information is relevant, such as oncology, rare disease testing and prenatal screening. Based on their publicly reported revenue, we estimate that the NGS-based tests from Natera Inc., Guardant Health, Inc., Adaptive Biotechnology Corporation and Exact Sciences Corp, collectively grew from approximately $0.6 billion in 2017 to $5.4 billion in 2024, representing a CAGR of approximately 37%.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7230" cy="20447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77230" cy="204470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We believe there is an even greater opportunity for clinical diagnostics enabled by advanced proteomic tools over the coming decade due to the broader applicability of proteins across many disease areas. Today, advanced proteomics clinical diagnostics is a relatively small market, which we estimate to be approximately $0.4 billion. Based on our internal estimate using a 37% CAGR as seen in the NGS clinical testing market, we believe the segment of the advanced proteomics clinical diagnostics market could reach up to $9 billion by 2035.8 We believe this growth will be driven by high-sensitivity multiplex tests addressing unmet clinical needs in neurology (e.g., screening, diagnosis and monitoring for Alzheimer’s disease), oncology (e.g., early detection using multi-omic tests), autoimmunity (e.g., disease monitoring), and more.</w:t>
      </w:r>
    </w:p>
    <w:p>
      <w:pPr>
        <w:pStyle w:val="TextBody"/>
        <w:bidi w:val="0"/>
        <w:spacing w:before="160" w:after="0"/>
        <w:jc w:val="left"/>
        <w:rPr>
          <w:rFonts w:ascii="arial" w:hAnsi="arial"/>
          <w:sz w:val="20"/>
        </w:rPr>
      </w:pPr>
      <w:r>
        <w:rPr>
          <w:rFonts w:ascii="arial" w:hAnsi="arial"/>
          <w:sz w:val="20"/>
        </w:rPr>
        <w:t xml:space="preserve">Today, a rich landscape of clinically significant protein biomarkers, with prognostic or diagnostic value, exists across many heterogeneous disease areas including autoimmune disorders, cardiology, neurology, metabolic diseases and oncology. However, many traditional immunoassays lack the sensitivity to detect low-abundant markers and the multiplexing capability needed to measure multiple biomarkers for more precise disease characterization.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7 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Precedence Research, </w:t>
            </w:r>
            <w:r>
              <w:rPr>
                <w:i/>
              </w:rPr>
              <w:t>Immunoassay Market Size, Share and Trends 2026 -2035</w:t>
            </w:r>
            <w:r>
              <w:rPr/>
              <w:t xml:space="preserve">, 2025.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8 </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Based on net revenues obtained from public filings from Natera, Inc., Guardant Health, Inc., Adaptive Biotechnology Corporation and Exact Sciences Corp.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believe advances in high-sensitivity and multiplexed proteomics technologies will enable new classes of protein-based clinical assays, supporting applications such as early disease detection, patient stratification, therapy guidance and treatment monitoring, and MRD/active surveillance, if successfully developed and authorized for such uses. We expect future growth in the advanced proteomics clinical diagnostics market will include demands for enhanced sensitivity and multiplexing capabilities, specifically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shift towards early-disease intervention and precision medicine for chronic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expansion of high-sensitivity approaches within and beyond neurology, into disease areas including oncology, cardio-metabolic diseases and autoimmune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continued uptake of non-invasive biofluid sample types, such as blood, urine and dried blood spots;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expansion into large patient populations requiring multiplex panels (e.g., MCED, cardiovascular risk). </w:t>
            </w:r>
          </w:p>
        </w:tc>
      </w:tr>
    </w:tbl>
    <w:p>
      <w:pPr>
        <w:pStyle w:val="TextBody"/>
        <w:bidi w:val="0"/>
        <w:spacing w:before="320" w:after="0"/>
        <w:jc w:val="left"/>
        <w:rPr>
          <w:rFonts w:ascii="arial" w:hAnsi="arial"/>
          <w:i/>
          <w:sz w:val="20"/>
        </w:rPr>
      </w:pPr>
      <w:r>
        <w:rPr>
          <w:rFonts w:ascii="arial" w:hAnsi="arial"/>
          <w:i/>
          <w:sz w:val="20"/>
        </w:rPr>
        <w:t xml:space="preserve">Neurodegenerative diseases </w:t>
      </w:r>
    </w:p>
    <w:p>
      <w:pPr>
        <w:pStyle w:val="TextBody"/>
        <w:bidi w:val="0"/>
        <w:spacing w:before="160" w:after="0"/>
        <w:jc w:val="left"/>
        <w:rPr>
          <w:rFonts w:ascii="arial" w:hAnsi="arial"/>
          <w:sz w:val="20"/>
        </w:rPr>
      </w:pPr>
      <w:r>
        <w:rPr>
          <w:rFonts w:ascii="arial" w:hAnsi="arial"/>
          <w:sz w:val="20"/>
        </w:rPr>
        <w:t xml:space="preserve">Neurodegenerative diseases highlight a critical opportunity for protein-based clinical diagnostics. These conditions pose significant challenges for therapeutic development due to their heterogeneity, multiple pathological mechanisms and narrow therapeutic windows where interventions remain effective. Disease progression occurs in distinct stages, with therapeutic efficacy declining as neurodegeneration advances. This creates an urgent need for precision diagnostics that can accurately identify disease subtypes, stage progression and select patients most likely to respond to specific therapies. </w:t>
      </w:r>
    </w:p>
    <w:p>
      <w:pPr>
        <w:pStyle w:val="TextBody"/>
        <w:bidi w:val="0"/>
        <w:spacing w:before="160" w:after="0"/>
        <w:jc w:val="left"/>
        <w:rPr>
          <w:rFonts w:ascii="arial" w:hAnsi="arial"/>
          <w:sz w:val="20"/>
        </w:rPr>
      </w:pPr>
      <w:r>
        <w:rPr>
          <w:rFonts w:ascii="arial" w:hAnsi="arial"/>
          <w:sz w:val="20"/>
        </w:rPr>
        <w:t xml:space="preserve">Alzheimer’s disease exemplifies these challenges. As of January 2025, more than 180 active clinical trials were testing over 130 novel drugs targeting mechanisms such as amyloid, tau, neuroinflammation and synaptic dysfunction. Biomarkers now serve as primary endpoints in 27% of active trials, underscoring the importance of molecular profiling for patient selection and treatment monitoring. Clinical evidence further demonstrates the importance of accurate staging: donanemab slowed cognitive decline by 35% overall, but patients treated at early stages experienced up to 60% slowing. These findings underscore that disease-modifying therapies are most effective during specific disease stages, making precise staging and patient stratification essential. </w:t>
      </w:r>
    </w:p>
    <w:p>
      <w:pPr>
        <w:pStyle w:val="TextBody"/>
        <w:bidi w:val="0"/>
        <w:spacing w:before="160" w:after="0"/>
        <w:jc w:val="left"/>
        <w:rPr>
          <w:rFonts w:ascii="arial" w:hAnsi="arial"/>
          <w:sz w:val="20"/>
        </w:rPr>
      </w:pPr>
      <w:r>
        <w:rPr>
          <w:rFonts w:ascii="arial" w:hAnsi="arial"/>
          <w:sz w:val="20"/>
        </w:rPr>
        <w:t xml:space="preserve">The Alzheimer’s disease market is expected to be one of the fastest growing segments of the clinical diagnostics market over the next decade, driven by an aging population, shifts toward earlier and non-invasive diagnostics, and these recent breakthroughs in disease-modifying therapies. High-sensitivity protein panels and multianalyte assays will be central to earlier and more accurate detection of various neurodegenerative processes. </w:t>
      </w:r>
    </w:p>
    <w:p>
      <w:pPr>
        <w:pStyle w:val="TextBody"/>
        <w:bidi w:val="0"/>
        <w:spacing w:before="160" w:after="0"/>
        <w:jc w:val="left"/>
        <w:rPr>
          <w:rFonts w:ascii="arial" w:hAnsi="arial"/>
          <w:sz w:val="20"/>
        </w:rPr>
      </w:pPr>
      <w:r>
        <w:rPr>
          <w:rFonts w:ascii="arial" w:hAnsi="arial"/>
          <w:sz w:val="20"/>
        </w:rPr>
        <w:t xml:space="preserve">The need for precision diagnostics extends beyond Alzheimer’s disease to other neurodegenerative conditions such as Parkinson’s disease, amyotrophic lateral sclerosis and frontotemporal dementia. These disorders share common challenges: significant disease heterogeneity, multiple pathological subtypes and narrow therapeutic windows where interventions remain effective. As therapeutic development accelerates, with hundreds of clinical trials requiring sophisticated patient selection and monitoring, advanced proteomics tools will be essential for advancing research and improving clinical care. </w:t>
      </w:r>
    </w:p>
    <w:p>
      <w:pPr>
        <w:pStyle w:val="TextBody"/>
        <w:bidi w:val="0"/>
        <w:spacing w:before="160" w:after="0"/>
        <w:jc w:val="left"/>
        <w:rPr>
          <w:rFonts w:ascii="arial" w:hAnsi="arial"/>
          <w:sz w:val="20"/>
        </w:rPr>
      </w:pPr>
      <w:r>
        <w:rPr>
          <w:rFonts w:ascii="arial" w:hAnsi="arial"/>
          <w:sz w:val="20"/>
        </w:rPr>
        <w:t xml:space="preserve">We believe our platform is uniquely positioned to lead this transformation. By enabling the development of high-performance biomarker panels for clinical trials and, ultimately, population-level screening, we believe our technology can set the standard for precision diagnostics in neurodegenerative disease. With Alzheimer’s disease established as our beachhead market, we are well positioned to lead the market in other neurodegenerative diseases.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Future market expansion opportunities </w:t>
      </w:r>
    </w:p>
    <w:p>
      <w:pPr>
        <w:pStyle w:val="TextBody"/>
        <w:bidi w:val="0"/>
        <w:spacing w:before="160" w:after="0"/>
        <w:jc w:val="left"/>
        <w:rPr>
          <w:rFonts w:ascii="arial" w:hAnsi="arial"/>
          <w:sz w:val="20"/>
        </w:rPr>
      </w:pPr>
      <w:r>
        <w:rPr>
          <w:rFonts w:ascii="arial" w:hAnsi="arial"/>
          <w:sz w:val="20"/>
        </w:rPr>
        <w:t xml:space="preserve">As adoption accelerates in our core markets, our validated platform positions us to unlock new applications and adjacent opportunities. One such area is health monitoring, a rapidly growing market fueled by global demographic shifts and the rising demand for preventative care. Advances in proteomics and digital health now make it possible to track biological aging and chronic disease progression longitudinally, creating new opportunities across diagnostics, therapeutics and wellness. With aging increasingly recognized as a modifiable biological process, we believe high sensitivity, multiplexed protein assays will be critical for early detection, prevention, and real-time monitoring. These capabilities will not only drive meaningful clinical impact but also unlock significant commercial potential. We believe AI will be an important accelerator to the health monitoring market. We envision a future NULISA powered test panel leveraging AI analytics with at home sampling to provide deep insights into health status and early disease detection. </w:t>
      </w:r>
    </w:p>
    <w:p>
      <w:pPr>
        <w:pStyle w:val="TextBody"/>
        <w:bidi w:val="0"/>
        <w:spacing w:before="320" w:after="0"/>
        <w:jc w:val="left"/>
        <w:rPr>
          <w:rFonts w:ascii="arial" w:hAnsi="arial"/>
          <w:b/>
          <w:sz w:val="24"/>
        </w:rPr>
      </w:pPr>
      <w:r>
        <w:rPr>
          <w:rFonts w:ascii="arial" w:hAnsi="arial"/>
          <w:b/>
          <w:sz w:val="24"/>
        </w:rPr>
        <w:t xml:space="preserve">Our competitive strengths </w:t>
      </w:r>
    </w:p>
    <w:p>
      <w:pPr>
        <w:pStyle w:val="TextBody"/>
        <w:bidi w:val="0"/>
        <w:spacing w:before="160" w:after="0"/>
        <w:jc w:val="left"/>
        <w:rPr>
          <w:rFonts w:ascii="arial" w:hAnsi="arial"/>
          <w:sz w:val="20"/>
        </w:rPr>
      </w:pPr>
      <w:r>
        <w:rPr>
          <w:rFonts w:ascii="arial" w:hAnsi="arial"/>
          <w:sz w:val="20"/>
        </w:rPr>
        <w:t xml:space="preserve">Our growth is fueled by a set of key competitive strengths that position us to accelerate the field of proteomics and establish ourselves as the industry gold standard. Our competitive strengths include: </w:t>
      </w:r>
    </w:p>
    <w:p>
      <w:pPr>
        <w:pStyle w:val="TextBody"/>
        <w:bidi w:val="0"/>
        <w:spacing w:before="160" w:after="0"/>
        <w:jc w:val="left"/>
        <w:rPr>
          <w:rFonts w:ascii="arial" w:hAnsi="arial"/>
          <w:sz w:val="20"/>
        </w:rPr>
      </w:pPr>
      <w:r>
        <w:rPr>
          <w:rFonts w:ascii="arial" w:hAnsi="arial"/>
          <w:b/>
          <w:i/>
          <w:sz w:val="20"/>
        </w:rPr>
        <w:t>Uniquely combining five pillars to enable Precision Proteomics.</w:t>
      </w:r>
      <w:r>
        <w:rPr>
          <w:rFonts w:ascii="arial" w:hAnsi="arial"/>
          <w:sz w:val="20"/>
        </w:rPr>
        <w:t xml:space="preserve"> We believe our proprietary NULISA technology stands apart through the unique combination of five core technical pillars: ultra-high sensitivity, high specificity, flexible multiplexing, broad dynamic range and seamless automation. All five pillars are critical to power Precision Proteomics, which we believe is uniquely enabled by our technology. This technological leadership is further secured by a strong portfolio of patents and years of proprietary know-how and trade secrets. </w:t>
      </w:r>
    </w:p>
    <w:p>
      <w:pPr>
        <w:pStyle w:val="TextBody"/>
        <w:bidi w:val="0"/>
        <w:spacing w:before="160" w:after="0"/>
        <w:jc w:val="left"/>
        <w:rPr>
          <w:rFonts w:ascii="arial" w:hAnsi="arial"/>
          <w:sz w:val="20"/>
        </w:rPr>
      </w:pPr>
      <w:r>
        <w:rPr>
          <w:rFonts w:ascii="arial" w:hAnsi="arial"/>
          <w:b/>
          <w:i/>
          <w:sz w:val="20"/>
        </w:rPr>
        <w:t>Integrated platform enables broad and scalable adoption.</w:t>
      </w:r>
      <w:r>
        <w:rPr>
          <w:rFonts w:ascii="arial" w:hAnsi="arial"/>
          <w:sz w:val="20"/>
        </w:rPr>
        <w:t xml:space="preserve"> Our integrated, user-friendly Precision Proteomics platform democratizes advanced proteomics by delivering a complete ecosystem of instruments, consumables and software. Unlike centralized laboratory models (that rely on specialized technicians to perform services, often highly technical in nature requiring specific capabilities and equipment, for others in an institution), our technology enables both major research centers and smaller labs to independently run high quality proteomic analyses. Preconfigured panels with highly informative content, combined with automated workflows and intuitive analysis software, allow users to rapidly generate and interpret robust datasets across diverse research and potential clinical environments. Our goal is to set the gold standard in proteomics by removing barriers and expanding access to precision protein analysis for the entire scientific community. </w:t>
      </w:r>
    </w:p>
    <w:p>
      <w:pPr>
        <w:pStyle w:val="TextBody"/>
        <w:bidi w:val="0"/>
        <w:spacing w:before="160" w:after="0"/>
        <w:jc w:val="left"/>
        <w:rPr>
          <w:rFonts w:ascii="arial" w:hAnsi="arial"/>
          <w:sz w:val="20"/>
        </w:rPr>
      </w:pPr>
      <w:r>
        <w:rPr>
          <w:rFonts w:ascii="arial" w:hAnsi="arial"/>
          <w:b/>
          <w:i/>
          <w:sz w:val="20"/>
        </w:rPr>
        <w:t>Broad application across the discovery-to-diagnostics continuum.</w:t>
      </w:r>
      <w:r>
        <w:rPr>
          <w:rFonts w:ascii="arial" w:hAnsi="arial"/>
          <w:sz w:val="20"/>
        </w:rPr>
        <w:t xml:space="preserve"> Our Precision Proteomics platform is designed to support the full biomarker continuum, from basic discovery to potential clinical diagnostics. The ARGO HT System enables researchers to move seamlessly from high-plex discovery to highly specific, clinical grade assays on the same platform. This integrated workflow supports targeted discovery in areas such as neurology, allows creation of large disease relevant panels, and streamlines translation into diagnostic tests. </w:t>
      </w:r>
    </w:p>
    <w:p>
      <w:pPr>
        <w:pStyle w:val="TextBody"/>
        <w:bidi w:val="0"/>
        <w:spacing w:before="160" w:after="0"/>
        <w:jc w:val="left"/>
        <w:rPr>
          <w:rFonts w:ascii="arial" w:hAnsi="arial"/>
          <w:sz w:val="20"/>
        </w:rPr>
      </w:pPr>
      <w:r>
        <w:rPr>
          <w:rFonts w:ascii="arial" w:hAnsi="arial"/>
          <w:b/>
          <w:i/>
          <w:sz w:val="20"/>
        </w:rPr>
        <w:t>Content fueled by innovative research and deep community partnership.</w:t>
      </w:r>
      <w:r>
        <w:rPr>
          <w:rFonts w:ascii="arial" w:hAnsi="arial"/>
          <w:sz w:val="20"/>
        </w:rPr>
        <w:t xml:space="preserve"> A core strength of our platform is the expertly curated content of our NULISAseq panels, developed through a combination of deep internal expertise and close collaboration with the scientific community. By integrating real world feedback from customers and field experts, we ensure our panels, particularly in neurology and immunology, remain scientifically robust and aligned with evolving research and clinical needs. Our technology enables precise detection of critical proteoforms, such as BD-pTau, supporting deeper disease understanding and improved diagnostics. This approach allows us to deliver highly informative, actionable panels that address clear unmet market needs. </w:t>
      </w:r>
    </w:p>
    <w:p>
      <w:pPr>
        <w:pStyle w:val="TextBody"/>
        <w:bidi w:val="0"/>
        <w:spacing w:before="160" w:after="0"/>
        <w:jc w:val="left"/>
        <w:rPr>
          <w:rFonts w:ascii="arial" w:hAnsi="arial"/>
          <w:sz w:val="20"/>
        </w:rPr>
      </w:pPr>
      <w:r>
        <w:rPr>
          <w:rFonts w:ascii="arial" w:hAnsi="arial"/>
          <w:b/>
          <w:i/>
          <w:sz w:val="20"/>
        </w:rPr>
        <w:t>Rapid scientific validation of our exceptional product performance.</w:t>
      </w:r>
      <w:r>
        <w:rPr>
          <w:rFonts w:ascii="arial" w:hAnsi="arial"/>
          <w:sz w:val="20"/>
        </w:rPr>
        <w:t xml:space="preserve"> A rapidly growing body of independent, peer-reviewed publications and preprints validates the performance of our platform. Since launch, our technology has been featured in more than 100 scientific publications, including leading journals such as </w:t>
      </w:r>
      <w:r>
        <w:rPr>
          <w:rFonts w:ascii="arial" w:hAnsi="arial"/>
          <w:i/>
          <w:sz w:val="20"/>
        </w:rPr>
        <w:t>Cell,</w:t>
      </w:r>
      <w:r>
        <w:rPr>
          <w:rFonts w:ascii="arial" w:hAnsi="arial"/>
          <w:sz w:val="20"/>
        </w:rPr>
        <w:t xml:space="preserve"> </w:t>
      </w:r>
      <w:r>
        <w:rPr>
          <w:rFonts w:ascii="arial" w:hAnsi="arial"/>
          <w:i/>
          <w:sz w:val="20"/>
        </w:rPr>
        <w:t>Nature, Nature Communications, Brain, Blood and Alzheimer’s and Dementia</w:t>
      </w:r>
      <w:r>
        <w:rPr>
          <w:rFonts w:ascii="arial" w:hAnsi="arial"/>
          <w:sz w:val="20"/>
        </w:rPr>
        <w:t xml:space="preserve">. These studies span diverse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research areas and showcase the use of our platform to identify novel biomarkers and disease mechanisms, characterize disease heterogeneity, and uncover predictive signatures of disease and treatment response. This breadth of evidence highlights the reliability, impact, and scientific rigor of our technology. </w:t>
      </w:r>
    </w:p>
    <w:p>
      <w:pPr>
        <w:pStyle w:val="TextBody"/>
        <w:bidi w:val="0"/>
        <w:spacing w:before="160" w:after="0"/>
        <w:jc w:val="left"/>
        <w:rPr>
          <w:rFonts w:ascii="arial" w:hAnsi="arial"/>
          <w:sz w:val="20"/>
        </w:rPr>
      </w:pPr>
      <w:r>
        <w:rPr>
          <w:rFonts w:ascii="arial" w:hAnsi="arial"/>
          <w:b/>
          <w:i/>
          <w:sz w:val="20"/>
        </w:rPr>
        <w:t>Experienced leadership with a proven track record.</w:t>
      </w:r>
      <w:r>
        <w:rPr>
          <w:rFonts w:ascii="arial" w:hAnsi="arial"/>
          <w:sz w:val="20"/>
        </w:rPr>
        <w:t xml:space="preserve"> At Alamar, one of our key strengths lies in our people. Our seasoned executive team brings together deep expertise across all critical domains. This expertise is anchored by our founder, Dr. Yuling Luo, a serial entrepreneur and innovator with a proven track record in the life sciences industry. Before founding Alamar, Dr. Luo was the founder and CEO of Advanced Cell Diagnostics, where he pioneered the RNAscope technology and led the company through rapid growth and a successful acquisition by Bio-Techne. Dr. Shiping “Steve” Chen, our Chief Operating Officer, has partnered closely with Dr. Luo in building multiple successful companies. Dr. Xiao-Jun Ma, our Chief Technology Officer, has a strong track record of creating clinical tests that meet rigorous standards, including those within National Comprehensive Cancer Network guidelines. Dr. Luo, Dr. Chen and Dr. Ma bring direct experience from Advanced Cell Diagnostics, where they together developed expertise in background noise suppression capabilities that are foundational to Alamar’s technology. This core team is complemented by seasoned professionals in R&amp;D, operations, manufacturing, legal, sales, marketing, customer success, and finance. Together, this experienced, multidisciplinary team enables Alamar to identify high-impact opportunities and deliver innovative solutions that are shaping the future of proteomics. </w:t>
      </w:r>
    </w:p>
    <w:p>
      <w:pPr>
        <w:pStyle w:val="TextBody"/>
        <w:bidi w:val="0"/>
        <w:spacing w:before="320" w:after="0"/>
        <w:jc w:val="left"/>
        <w:rPr>
          <w:rFonts w:ascii="arial" w:hAnsi="arial"/>
          <w:b/>
          <w:sz w:val="24"/>
        </w:rPr>
      </w:pPr>
      <w:r>
        <w:rPr>
          <w:rFonts w:ascii="arial" w:hAnsi="arial"/>
          <w:b/>
          <w:sz w:val="24"/>
        </w:rPr>
        <w:t xml:space="preserve">Our growth strategy </w:t>
      </w:r>
    </w:p>
    <w:p>
      <w:pPr>
        <w:pStyle w:val="TextBody"/>
        <w:bidi w:val="0"/>
        <w:spacing w:before="160" w:after="0"/>
        <w:jc w:val="left"/>
        <w:rPr>
          <w:rFonts w:ascii="arial" w:hAnsi="arial"/>
          <w:sz w:val="20"/>
        </w:rPr>
      </w:pPr>
      <w:r>
        <w:rPr>
          <w:rFonts w:ascii="arial" w:hAnsi="arial"/>
          <w:sz w:val="20"/>
        </w:rPr>
        <w:t xml:space="preserve">We plan to systematically develop the RUO market and expand our customer base to realize our mission of powering the next wave of Precision Proteomics and enabling the earliest detection of disease. </w:t>
      </w:r>
    </w:p>
    <w:p>
      <w:pPr>
        <w:pStyle w:val="TextBody"/>
        <w:bidi w:val="0"/>
        <w:spacing w:before="160" w:after="0"/>
        <w:jc w:val="left"/>
        <w:rPr>
          <w:rFonts w:ascii="arial" w:hAnsi="arial"/>
          <w:sz w:val="20"/>
        </w:rPr>
      </w:pPr>
      <w:r>
        <w:rPr>
          <w:rFonts w:ascii="arial" w:hAnsi="arial"/>
          <w:sz w:val="20"/>
        </w:rPr>
        <w:t xml:space="preserve">Our growth strategy focuses on five key priorities: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Grow installed base and establish market leadership in proteomics.</w:t>
            </w:r>
            <w:r>
              <w:rPr>
                <w:rFonts w:ascii="arial" w:hAnsi="arial"/>
                <w:sz w:val="20"/>
              </w:rPr>
              <w:t xml:space="preserve"> We plan to expand the ARGO HT installed base across academia and biopharmaceutical companies to drive both new site acquisition and deeper penetration within existing institutions. We will continue to build momentum in neurodegenerative disease, using Alzheimer’s as our entry point and continue to expand into adjacent neurodegenerative diseases, immunology, and other high value markets. In parallel, we are broadening our global reach with direct presence in North America, Europe and China, and distributor partnerships in Australia, portions of Eastern Europe, India, Japan, Singapore and South Korea.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i/>
                <w:sz w:val="20"/>
              </w:rPr>
              <w:t>Increase utilization through novel content expansion.</w:t>
            </w:r>
            <w:r>
              <w:rPr>
                <w:rFonts w:ascii="arial" w:hAnsi="arial"/>
                <w:sz w:val="20"/>
              </w:rPr>
              <w:t xml:space="preserve"> We intend to launch disease targeted panels and accelerate their translation into clinical applications. New community driven panels across key therapeutic areas (including neurology, immunology, cardiovascular disease, metabolic disease, oncology, and health monitoring) will drive new system placements, increase utilization, and expand reagent pull-through. We believe continuous innovation in panel content will strengthen our competitive advantage and reinforce our position as a comprehensive solution. We plan to continue partnering with leading KOLs to embed real world insights into panel development and to showcase our Precision Proteomics platform in high impact publications and major industry forums to amplify awareness and accelerate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Accelerate diagnostic enablement strategy and drive clinical LDT and IVD adoption.</w:t>
            </w:r>
            <w:r>
              <w:rPr>
                <w:rFonts w:ascii="arial" w:hAnsi="arial"/>
                <w:sz w:val="20"/>
              </w:rPr>
              <w:t xml:space="preserve"> We are accelerating our diagnostics enablement strategy by developing a dual-mode ARGO HT/DX system that is designed to support both RUO/LDT assays and IVD tests. We intend to submit our instrument and an initial diagnostic assay to the FDA for marketing authorization in 2027 which, if granted, will position the platform for rapid uptake across clinical labs and diagnostic developers. Our single-plex and low-plex NULISA panels and custom assay kits expand use in clinical trials and support companion diagnostic partnerships.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Broaden access for emerging and smaller labs.</w:t>
            </w:r>
            <w:r>
              <w:rPr>
                <w:rFonts w:ascii="arial" w:hAnsi="arial"/>
                <w:sz w:val="20"/>
              </w:rPr>
              <w:t xml:space="preserve"> We are broadening access to our Precision Proteomics platform beyond large academic medical centers and biopharmaceutical companies into smaller research institutions will increase our instrument unit opportunity. By offering lower cost, lower throughput systems, we expect to be able to reach early-stage researchers and smaller research labs. We believe this strategy will expand our global instrument footprint and drive broader adoption across diverse research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Create an ecosystem for proteomics.</w:t>
            </w:r>
            <w:r>
              <w:rPr>
                <w:rFonts w:ascii="arial" w:hAnsi="arial"/>
                <w:sz w:val="20"/>
              </w:rPr>
              <w:t xml:space="preserve"> Our objective is to build a proteomics ecosystem that enables customers to develop and commercialize proprietary assets. Through community-driven panels and custom assay development kits, we aim to create a network effect fueled by exceptional user experience and high-impact scientific publications. </w:t>
            </w:r>
          </w:p>
        </w:tc>
      </w:tr>
    </w:tbl>
    <w:p>
      <w:pPr>
        <w:pStyle w:val="TextBody"/>
        <w:bidi w:val="0"/>
        <w:spacing w:before="320" w:after="0"/>
        <w:jc w:val="left"/>
        <w:rPr>
          <w:rFonts w:ascii="arial" w:hAnsi="arial"/>
          <w:b/>
          <w:sz w:val="24"/>
        </w:rPr>
      </w:pPr>
      <w:r>
        <w:rPr>
          <w:rFonts w:ascii="arial" w:hAnsi="arial"/>
          <w:b/>
          <w:sz w:val="24"/>
        </w:rPr>
        <w:t xml:space="preserve">Commercial </w:t>
      </w:r>
    </w:p>
    <w:p>
      <w:pPr>
        <w:pStyle w:val="TextBody"/>
        <w:bidi w:val="0"/>
        <w:spacing w:before="160" w:after="0"/>
        <w:jc w:val="left"/>
        <w:rPr>
          <w:rFonts w:ascii="arial" w:hAnsi="arial"/>
          <w:sz w:val="20"/>
        </w:rPr>
      </w:pPr>
      <w:r>
        <w:rPr>
          <w:rFonts w:ascii="arial" w:hAnsi="arial"/>
          <w:sz w:val="20"/>
        </w:rPr>
        <w:t xml:space="preserve">We launched our platform in January 2024 and have already experienced rapid adoption with more than 300 customers across 25 countries and a cumulative installed base of over 100 instruments as of December 31, 2025. </w:t>
      </w:r>
    </w:p>
    <w:p>
      <w:pPr>
        <w:pStyle w:val="TextBody"/>
        <w:bidi w:val="0"/>
        <w:spacing w:before="320" w:after="0"/>
        <w:jc w:val="left"/>
        <w:rPr>
          <w:rFonts w:ascii="arial" w:hAnsi="arial"/>
          <w:b/>
          <w:i/>
          <w:sz w:val="20"/>
        </w:rPr>
      </w:pPr>
      <w:r>
        <w:rPr>
          <w:rFonts w:ascii="arial" w:hAnsi="arial"/>
          <w:b/>
          <w:i/>
          <w:sz w:val="20"/>
        </w:rPr>
        <w:t xml:space="preserve">Sales and marketing </w:t>
      </w:r>
    </w:p>
    <w:p>
      <w:pPr>
        <w:pStyle w:val="TextBody"/>
        <w:bidi w:val="0"/>
        <w:spacing w:before="160" w:after="0"/>
        <w:jc w:val="left"/>
        <w:rPr>
          <w:rFonts w:ascii="arial" w:hAnsi="arial"/>
          <w:sz w:val="20"/>
        </w:rPr>
      </w:pPr>
      <w:r>
        <w:rPr>
          <w:rFonts w:ascii="arial" w:hAnsi="arial"/>
          <w:sz w:val="20"/>
        </w:rPr>
        <w:t xml:space="preserve">Using a razor/razor blade business model, we generate revenue primarily from sales of our ARGO HT instruments and associated consumables and services. Our commercial organization includes direct sales agents, marketing and commercial specialists. We sell our products through our direct sales channels in North America, Europe and China and have established distribution agreements in Australia, portions of Eastern Europe, India, Japan, Singapore and South Korea. </w:t>
      </w:r>
    </w:p>
    <w:p>
      <w:pPr>
        <w:pStyle w:val="TextBody"/>
        <w:bidi w:val="0"/>
        <w:spacing w:before="160" w:after="0"/>
        <w:jc w:val="left"/>
        <w:rPr>
          <w:rFonts w:ascii="arial" w:hAnsi="arial"/>
          <w:sz w:val="20"/>
        </w:rPr>
      </w:pPr>
      <w:r>
        <w:rPr>
          <w:rFonts w:ascii="arial" w:hAnsi="arial"/>
          <w:sz w:val="20"/>
        </w:rPr>
        <w:t xml:space="preserve">As of December 31, 2025, our 25-person direct sales team included field sales agents, business development specialists focused on specific market segments and inside sales agents. The sales team is complemented by customer success specialists. Expanding our commercial team and strengthening our sales, support and marketing capabilities are key priorities, and we expect to allocate significant investment here in future years as revenues increase. We believe our industry-leading sales efficiency is driven by the well-recognized unmet market need for our Precision Proteomics platform, particularly in areas where sensitivity and multiplexing are key. We have further driven market education through direct sales calls, trade shows, seminars, academic conferences, web presence, social media and other forms of internet marketing. We also provide education and training resources, both online and in person. </w:t>
      </w:r>
    </w:p>
    <w:p>
      <w:pPr>
        <w:pStyle w:val="TextBody"/>
        <w:bidi w:val="0"/>
        <w:spacing w:before="160" w:after="0"/>
        <w:jc w:val="left"/>
        <w:rPr>
          <w:rFonts w:ascii="arial" w:hAnsi="arial"/>
          <w:sz w:val="20"/>
        </w:rPr>
      </w:pPr>
      <w:r>
        <w:rPr>
          <w:rFonts w:ascii="arial" w:hAnsi="arial"/>
          <w:sz w:val="20"/>
        </w:rPr>
        <w:t xml:space="preserve">Our initial launch strategy was focused on establishing beachhead markets in neurology and immunology where the critical protein biomarkers are well established and require the highest level of sensitivity and precision to be measured accurately. In these markets, we have established our platform as a comprehensive solution and seen rapid adoption due to the clear unmet need for ultra-high sensitivity, high specificity and multiplexing. </w:t>
      </w:r>
    </w:p>
    <w:p>
      <w:pPr>
        <w:pStyle w:val="TextBody"/>
        <w:bidi w:val="0"/>
        <w:spacing w:before="160" w:after="0"/>
        <w:jc w:val="left"/>
        <w:rPr>
          <w:rFonts w:ascii="arial" w:hAnsi="arial"/>
          <w:sz w:val="20"/>
        </w:rPr>
      </w:pPr>
      <w:r>
        <w:rPr>
          <w:rFonts w:ascii="arial" w:hAnsi="arial"/>
          <w:sz w:val="20"/>
        </w:rPr>
        <w:t xml:space="preserve">We began offering early access to our NULISA assays in 2023 through TAP, allowing researchers access to the technology for sample processing and analysis on a fee-for-service basis. With the initiation of TAP, we targeted KOLs within leading academic centers and biopharmaceutical companies and conducted projects to demonstrate NULISA performance in key applications versus competitive offerings. Data generated through TAP projects consistently demonstrated our platform’s exceptional capabilities, measuring known biomarkers and identifying important new biological insights. The strength of TAP data, and the resulting KOL endorsements, accelerated adoption of our platform following broad commercial launch in January 2024. </w:t>
      </w:r>
    </w:p>
    <w:p>
      <w:pPr>
        <w:pStyle w:val="TextBody"/>
        <w:bidi w:val="0"/>
        <w:spacing w:before="160" w:after="0"/>
        <w:jc w:val="left"/>
        <w:rPr>
          <w:rFonts w:ascii="arial" w:hAnsi="arial"/>
          <w:sz w:val="20"/>
        </w:rPr>
      </w:pPr>
      <w:r>
        <w:rPr>
          <w:rFonts w:ascii="arial" w:hAnsi="arial"/>
          <w:sz w:val="20"/>
        </w:rPr>
        <w:t xml:space="preserve">While TAP served as an initial revenue driver and data engine for high impact publications, the majority of revenue now comes from consumable kits and ARGO HT instrument sales. Within services, TAP continues to drive new customer acquisition by offering white-glove support and rapid data turnaround for custom assays,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providing an exceptional first-time Alamar customer experience. We have seen significant success in both repeat TAP customers and converting TAP customers into new ARGO HT System purchases. TAP is currently the largest portion of our services revenue, which also consists of revenue from instrument service and maintenance contracts purchased by customers to extend the one-year limited warranty for the instrument. </w:t>
      </w:r>
    </w:p>
    <w:p>
      <w:pPr>
        <w:pStyle w:val="TextBody"/>
        <w:bidi w:val="0"/>
        <w:spacing w:before="320" w:after="0"/>
        <w:jc w:val="left"/>
        <w:rPr>
          <w:rFonts w:ascii="arial" w:hAnsi="arial"/>
          <w:b/>
          <w:i/>
          <w:sz w:val="20"/>
        </w:rPr>
      </w:pPr>
      <w:r>
        <w:rPr>
          <w:rFonts w:ascii="arial" w:hAnsi="arial"/>
          <w:b/>
          <w:i/>
          <w:sz w:val="20"/>
        </w:rPr>
        <w:t xml:space="preserve">Our commercialization strategy </w:t>
      </w:r>
    </w:p>
    <w:p>
      <w:pPr>
        <w:pStyle w:val="TextBody"/>
        <w:bidi w:val="0"/>
        <w:spacing w:before="160" w:after="0"/>
        <w:jc w:val="left"/>
        <w:rPr>
          <w:rFonts w:ascii="arial" w:hAnsi="arial"/>
          <w:sz w:val="20"/>
        </w:rPr>
      </w:pPr>
      <w:r>
        <w:rPr>
          <w:rFonts w:ascii="arial" w:hAnsi="arial"/>
          <w:sz w:val="20"/>
        </w:rPr>
        <w:t xml:space="preserve">Our commercialization strategy is focused on driving adoption in targeted discovery and translational markets while establishing a foundation for clinical diagnostics through internal innovation and external partnerships. As the clinical importance of specific low-abundance proteins in blood grows, we expect to build a portfolio of differentiated assay content while continuing to expand the breadth of our content to address the discovery market.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0400" cy="204914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40400" cy="204914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We are executing this strategy in four phases: </w:t>
      </w:r>
    </w:p>
    <w:p>
      <w:pPr>
        <w:pStyle w:val="TextBody"/>
        <w:bidi w:val="0"/>
        <w:spacing w:before="160" w:after="0"/>
        <w:jc w:val="left"/>
        <w:rPr>
          <w:rFonts w:ascii="arial" w:hAnsi="arial"/>
          <w:sz w:val="20"/>
        </w:rPr>
      </w:pPr>
      <w:r>
        <w:rPr>
          <w:rFonts w:ascii="arial" w:hAnsi="arial"/>
          <w:sz w:val="20"/>
        </w:rPr>
        <w:t xml:space="preserve">In the </w:t>
      </w:r>
      <w:r>
        <w:rPr>
          <w:rFonts w:ascii="arial" w:hAnsi="arial"/>
          <w:b/>
          <w:i/>
          <w:sz w:val="20"/>
        </w:rPr>
        <w:t>first phase</w:t>
      </w:r>
      <w:r>
        <w:rPr>
          <w:rFonts w:ascii="arial" w:hAnsi="arial"/>
          <w:sz w:val="20"/>
        </w:rPr>
        <w:t xml:space="preserve">, we will capitalize on the success of our existing life-sciences discovery and translational research market with the existing neurology, immunology and mouse panels where our technology’s ultra-high sensitivity, high specificity, flexible multiplexing, broad dynamic range and seamless automation workflow capabilities are setting a new standard for protein analysis. We will expand into new markets with differentiated high-plex panels to address additional opportunities in cardiovascular and metabolic diseases as well as panels for oncology and health monitoring. We will also evaluate novel panels such as drug safety, drug mechanism, FDA-authorized protein-based assays and known causal proteins from genetic analysis. Additionally, as large datasets having measured thousands of proteins in tens of thousands of people emerge in the near future, a new set of biomarker “hits” will become public and therefore evaluable for importance and causality to add to existing panels and/or to create new panels. </w:t>
      </w:r>
    </w:p>
    <w:p>
      <w:pPr>
        <w:pStyle w:val="TextBody"/>
        <w:bidi w:val="0"/>
        <w:spacing w:before="160" w:after="0"/>
        <w:jc w:val="left"/>
        <w:rPr>
          <w:rFonts w:ascii="arial" w:hAnsi="arial"/>
          <w:sz w:val="20"/>
        </w:rPr>
      </w:pPr>
      <w:r>
        <w:rPr>
          <w:rFonts w:ascii="arial" w:hAnsi="arial"/>
          <w:i/>
          <w:sz w:val="20"/>
        </w:rPr>
        <w:t xml:space="preserve">In the </w:t>
      </w:r>
      <w:r>
        <w:rPr>
          <w:rFonts w:ascii="arial" w:hAnsi="arial"/>
          <w:b/>
          <w:i/>
          <w:sz w:val="20"/>
        </w:rPr>
        <w:t>second phase</w:t>
      </w:r>
      <w:r>
        <w:rPr>
          <w:rFonts w:ascii="arial" w:hAnsi="arial"/>
          <w:sz w:val="20"/>
        </w:rPr>
        <w:t xml:space="preserve">, we will drive our technology downstream into translational and clinical research with single and low-plex assays, and enable custom plex assays that address key areas of unmet needs in drug development and clinical trials. </w:t>
      </w:r>
    </w:p>
    <w:p>
      <w:pPr>
        <w:pStyle w:val="TextBody"/>
        <w:bidi w:val="0"/>
        <w:spacing w:before="160" w:after="0"/>
        <w:jc w:val="left"/>
        <w:rPr>
          <w:rFonts w:ascii="arial" w:hAnsi="arial"/>
          <w:sz w:val="20"/>
        </w:rPr>
      </w:pPr>
      <w:r>
        <w:rPr>
          <w:rFonts w:ascii="arial" w:hAnsi="arial"/>
          <w:sz w:val="20"/>
        </w:rPr>
        <w:t xml:space="preserve">In the </w:t>
      </w:r>
      <w:r>
        <w:rPr>
          <w:rFonts w:ascii="arial" w:hAnsi="arial"/>
          <w:b/>
          <w:i/>
          <w:sz w:val="20"/>
        </w:rPr>
        <w:t>third phase</w:t>
      </w:r>
      <w:r>
        <w:rPr>
          <w:rFonts w:ascii="arial" w:hAnsi="arial"/>
          <w:sz w:val="20"/>
        </w:rPr>
        <w:t xml:space="preserve">, we will become the partner of choice for diagnostic development with the launch of our dual mode ARGO HT/DX platform for use in the development of LDTs and/or FDA approved IVD assays. The objective is to become the central platform for an ecosystem where researchers and commercial entities can move their discoveries onto a regulated and globally distributed delivery system. </w:t>
      </w:r>
    </w:p>
    <w:p>
      <w:pPr>
        <w:pStyle w:val="TextBody"/>
        <w:bidi w:val="0"/>
        <w:spacing w:before="160" w:after="0"/>
        <w:jc w:val="left"/>
        <w:rPr>
          <w:rFonts w:ascii="arial" w:hAnsi="arial"/>
          <w:sz w:val="20"/>
        </w:rPr>
      </w:pPr>
      <w:r>
        <w:rPr>
          <w:rFonts w:ascii="arial" w:hAnsi="arial"/>
          <w:sz w:val="20"/>
        </w:rPr>
        <w:t xml:space="preserve">In the </w:t>
      </w:r>
      <w:r>
        <w:rPr>
          <w:rFonts w:ascii="arial" w:hAnsi="arial"/>
          <w:b/>
          <w:i/>
          <w:sz w:val="20"/>
        </w:rPr>
        <w:t>fourth phase</w:t>
      </w:r>
      <w:r>
        <w:rPr>
          <w:rFonts w:ascii="arial" w:hAnsi="arial"/>
          <w:sz w:val="20"/>
        </w:rPr>
        <w:t xml:space="preserve">, we will develop high-plex panels to interrogate the portion of the plasma proteome where low-abundance proteins and proteoforms have not been detected or quantified by traditional high-plex technologies.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Our customers </w:t>
      </w:r>
    </w:p>
    <w:p>
      <w:pPr>
        <w:pStyle w:val="TextBody"/>
        <w:bidi w:val="0"/>
        <w:spacing w:before="160" w:after="0"/>
        <w:jc w:val="left"/>
        <w:rPr>
          <w:rFonts w:ascii="arial" w:hAnsi="arial"/>
          <w:sz w:val="20"/>
        </w:rPr>
      </w:pPr>
      <w:r>
        <w:rPr>
          <w:rFonts w:ascii="arial" w:hAnsi="arial"/>
          <w:sz w:val="20"/>
        </w:rPr>
        <w:t xml:space="preserve">We have established ourselves as a trusted partner and our reputation is built on our commitment to understanding and solving our customers’ evolving needs. Our customers include leading global research / academic institutions, biopharmaceutical companies, CROs and service labs focused on life sciences research and clinical testing. The discovery market is driven in part by large cohort studies collected within academic institutions with large scale testing funded by the biopharmaceutical industry, philanthropic foundations and governments. The translational market is largely served by biopharmaceutical companies running clinical trials in collaboration with CROs. We expect our customer base to expand quickly as we move into the clinical and health monitoring markets with new customers including hospital labs and reference labs offering clinical testing and LDTs as well as direct-to-consumer (“DTC”) companies. </w:t>
      </w:r>
    </w:p>
    <w:p>
      <w:pPr>
        <w:pStyle w:val="TextBody"/>
        <w:bidi w:val="0"/>
        <w:spacing w:before="320" w:after="0"/>
        <w:jc w:val="left"/>
        <w:rPr>
          <w:rFonts w:ascii="arial" w:hAnsi="arial"/>
          <w:b/>
          <w:i/>
          <w:sz w:val="20"/>
        </w:rPr>
      </w:pPr>
      <w:r>
        <w:rPr>
          <w:rFonts w:ascii="arial" w:hAnsi="arial"/>
          <w:b/>
          <w:i/>
          <w:sz w:val="20"/>
        </w:rPr>
        <w:t xml:space="preserve">KOL relationships </w:t>
      </w:r>
    </w:p>
    <w:p>
      <w:pPr>
        <w:pStyle w:val="TextBody"/>
        <w:bidi w:val="0"/>
        <w:spacing w:before="160" w:after="0"/>
        <w:jc w:val="left"/>
        <w:rPr>
          <w:rFonts w:ascii="arial" w:hAnsi="arial"/>
          <w:sz w:val="20"/>
        </w:rPr>
      </w:pPr>
      <w:r>
        <w:rPr>
          <w:rFonts w:ascii="arial" w:hAnsi="arial"/>
          <w:sz w:val="20"/>
        </w:rPr>
        <w:t xml:space="preserve">Our KOL relationships play an important role in advancing our business. We are pursuing a deliberate strategy to cultivate deep, collaborative relationships with preeminent researchers across neurology, immunology and related fields. To meet the evolving needs of the research and clinical communities, we partner closely to generate new insights which are integrated directly into further development of our comprehensive content. We are actively engaged with customers and KOLs to introduce new community-driven panels and expand into new market segments including cardiovascular disease, metabolic disease, oncology and health monitoring. We are also partnering with KOLs to develop single and low-plex assays in key disease areas to accelerate the translation to clinical applications. </w:t>
      </w:r>
    </w:p>
    <w:p>
      <w:pPr>
        <w:pStyle w:val="TextBody"/>
        <w:bidi w:val="0"/>
        <w:spacing w:before="160" w:after="0"/>
        <w:jc w:val="left"/>
        <w:rPr>
          <w:rFonts w:ascii="arial" w:hAnsi="arial"/>
          <w:sz w:val="20"/>
        </w:rPr>
      </w:pPr>
      <w:r>
        <w:rPr>
          <w:rFonts w:ascii="arial" w:hAnsi="arial"/>
          <w:sz w:val="20"/>
        </w:rPr>
        <w:t xml:space="preserve">Awareness of our products has been greatly accelerated by advocacy within our KOL network. </w:t>
      </w:r>
    </w:p>
    <w:p>
      <w:pPr>
        <w:pStyle w:val="TextBody"/>
        <w:bidi w:val="0"/>
        <w:spacing w:before="320" w:after="0"/>
        <w:jc w:val="left"/>
        <w:rPr>
          <w:rFonts w:ascii="arial" w:hAnsi="arial"/>
          <w:b/>
          <w:i/>
          <w:sz w:val="20"/>
        </w:rPr>
      </w:pPr>
      <w:r>
        <w:rPr>
          <w:rFonts w:ascii="arial" w:hAnsi="arial"/>
          <w:b/>
          <w:i/>
          <w:sz w:val="20"/>
        </w:rPr>
        <w:t xml:space="preserve">Commercial collaborations </w:t>
      </w:r>
    </w:p>
    <w:p>
      <w:pPr>
        <w:pStyle w:val="TextBody"/>
        <w:bidi w:val="0"/>
        <w:spacing w:before="160" w:after="0"/>
        <w:jc w:val="left"/>
        <w:rPr>
          <w:rFonts w:ascii="arial" w:hAnsi="arial"/>
          <w:sz w:val="20"/>
        </w:rPr>
      </w:pPr>
      <w:r>
        <w:rPr>
          <w:rFonts w:ascii="arial" w:hAnsi="arial"/>
          <w:sz w:val="20"/>
        </w:rPr>
        <w:t xml:space="preserve">Our excellent reputation with customers has been validated by our commercial collaborations with renowned research foundations and consortia. These partnerships enable large studies to accelerate novel biomarker discovery and improve our understanding, diagnosis and treatment of neurodegenerative diseases. We have established collaborations with foundations worth multi-million of dollars combined,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Alzheimer’s Drug Discovery Foundation (“ADDF’s”) Diagnostics Accelerator</w:t>
            </w:r>
            <w:r>
              <w:rPr>
                <w:rFonts w:ascii="arial" w:hAnsi="arial"/>
                <w:sz w:val="20"/>
              </w:rPr>
              <w:t xml:space="preserve"> made their biggest single investment of $10 million in Alamar to accelerate the development of the ARGO HT/DX platform, which we intend to submit to the FDA for marketing authorization in 2027. This strategic funding not only supports technology advancement but also enables the scaling of ARGO DX’s infrastructure to support global research collaborations and clinical projects. ADDF’s partnership brings both financial resources and expert guidance to expand the platform’s reach in neurodegenerative disease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Michael J. Fox Foundation for Parkinson’s Research (“MJFF”)</w:t>
            </w:r>
            <w:r>
              <w:rPr>
                <w:rFonts w:ascii="arial" w:hAnsi="arial"/>
                <w:sz w:val="20"/>
              </w:rPr>
              <w:t xml:space="preserve"> is collaborating with Alamar and investing in our commercial platform, including funding multiple projects, to develop new ultra-sensitive biomarker assays for Parkinson’s disease, and their targets of interest have been incorporated into our multiplex panels and applied to large cohorts to discover new signatures. This collaboration has facilitated the validation of novel biomarkers, enhancing early diagnosis and patient stratification. Moreover, MJFF’s involvement ensures that the developed assays align with clinical needs and the latest scientific priorities in Parkinson’s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German Center for Neurodegenerative Diseases (“DZNE”)</w:t>
            </w:r>
            <w:r>
              <w:rPr>
                <w:rFonts w:ascii="arial" w:hAnsi="arial"/>
                <w:sz w:val="20"/>
              </w:rPr>
              <w:t xml:space="preserve"> is running 23,000 samples from the Rhineland study to study neurological diseases of aging and will utilize both the CNS Disease Panel and the Inflammation panel. This partnership allows comprehensive profiling of aging populations, yielding data that can inform both population health and precision medicine approaches. DZNE’s use of the panels also supports benchmarking and validation across other international aging studies.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Global Neurodegeneration Proteomics Consortium</w:t>
            </w:r>
            <w:r>
              <w:rPr>
                <w:rFonts w:ascii="arial" w:hAnsi="arial"/>
                <w:sz w:val="20"/>
              </w:rPr>
              <w:t xml:space="preserve"> </w:t>
            </w:r>
            <w:r>
              <w:rPr>
                <w:rFonts w:ascii="arial" w:hAnsi="arial"/>
                <w:i/>
                <w:sz w:val="20"/>
              </w:rPr>
              <w:t>(“GNPC”)</w:t>
            </w:r>
            <w:r>
              <w:rPr>
                <w:rFonts w:ascii="arial" w:hAnsi="arial"/>
                <w:sz w:val="20"/>
              </w:rPr>
              <w:t xml:space="preserve"> is generating the largest set of proteomics data in neurodegenerative disease collected to date with plans to characterize roughly 40,000 plasma samples using the NULISA CNS Disease and Inflammation panels. Funded in part by Gates Ventures and the Alzheimer’s Disease Data Initiative, this partnership will also fund the set-up of high throughput ARGO HT facilities in India, Sweden, the UK and the US and establish a global NULISA consortium to fund large scale projects in the future. Through this initiative, GNPC aims to set new standards for data sharing and reproducibility in the field, fostering open science principles. The consortium’s efforts will enable meta-analyses and cross-study comparisons with the aim of identifying better biomarkers for patient diagnosis and treatment. </w:t>
            </w:r>
          </w:p>
        </w:tc>
      </w:tr>
    </w:tbl>
    <w:p>
      <w:pPr>
        <w:pStyle w:val="TextBody"/>
        <w:bidi w:val="0"/>
        <w:spacing w:before="160" w:after="0"/>
        <w:jc w:val="left"/>
        <w:rPr>
          <w:rFonts w:ascii="arial" w:hAnsi="arial"/>
          <w:sz w:val="20"/>
        </w:rPr>
      </w:pPr>
      <w:r>
        <w:rPr>
          <w:rFonts w:ascii="arial" w:hAnsi="arial"/>
          <w:sz w:val="20"/>
        </w:rPr>
        <w:t xml:space="preserve">We do not owe any royalties, upfront or contingent payments or other funding obligations under these agreements, except for our agreement with ADDF, under which we may owe ADDF up to an aggregate of $4.75 million in potential milestone payments based on future sales of the diagnostic products developed through that collaboration, and a low single digit royalty on any potential sales of our ARGO HT/Dx instrument and related consumables. </w:t>
      </w:r>
    </w:p>
    <w:p>
      <w:pPr>
        <w:pStyle w:val="TextBody"/>
        <w:bidi w:val="0"/>
        <w:spacing w:before="320" w:after="0"/>
        <w:jc w:val="left"/>
        <w:rPr>
          <w:rFonts w:ascii="arial" w:hAnsi="arial"/>
          <w:b/>
          <w:i/>
          <w:sz w:val="20"/>
        </w:rPr>
      </w:pPr>
      <w:r>
        <w:rPr>
          <w:rFonts w:ascii="arial" w:hAnsi="arial"/>
          <w:b/>
          <w:i/>
          <w:sz w:val="20"/>
        </w:rPr>
        <w:t xml:space="preserve">Publications and data </w:t>
      </w:r>
    </w:p>
    <w:p>
      <w:pPr>
        <w:pStyle w:val="TextBody"/>
        <w:bidi w:val="0"/>
        <w:spacing w:before="160" w:after="0"/>
        <w:jc w:val="left"/>
        <w:rPr>
          <w:rFonts w:ascii="arial" w:hAnsi="arial"/>
          <w:sz w:val="20"/>
        </w:rPr>
      </w:pPr>
      <w:r>
        <w:rPr>
          <w:rFonts w:ascii="arial" w:hAnsi="arial"/>
          <w:sz w:val="20"/>
        </w:rPr>
        <w:t xml:space="preserve">There is a growing body of peer-reviewed publications and pre-prints from independent studies demonstrating scientific validation of our platform. Since commercial launch, the robust performance of our platform is evidenced in over 100 scientific publications. Many of these studies have appeared in high impact journals including </w:t>
      </w:r>
      <w:r>
        <w:rPr>
          <w:rFonts w:ascii="arial" w:hAnsi="arial"/>
          <w:i/>
          <w:sz w:val="20"/>
        </w:rPr>
        <w:t>Cell, Nature, Nature Communications, Brain, Blood and Alzheimer’s and Dementia</w:t>
      </w:r>
      <w:r>
        <w:rPr>
          <w:rFonts w:ascii="arial" w:hAnsi="arial"/>
          <w:sz w:val="20"/>
        </w:rPr>
        <w:t xml:space="preserve">. These publications span a wide range of research and applied areas including neurology, immunology, and oncology. Many of these publications demonstrate the use of our products to discover novel biomarkers and disease mechanisms, dissect disease heterogeneity and identify predictive signatures of disease and therapeutic outcomes. We believe the breadth and depth of this scientific validation underscore the impact and reliability of our technology.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324866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72150" cy="3248660"/>
                    </a:xfrm>
                    <a:prstGeom prst="rect">
                      <a:avLst/>
                    </a:prstGeom>
                  </pic:spPr>
                </pic:pic>
              </a:graphicData>
            </a:graphic>
          </wp:inline>
        </w:drawing>
      </w:r>
      <w:r>
        <w:rPr/>
        <w:t xml:space="preserve"> </w:t>
      </w:r>
    </w:p>
    <w:p>
      <w:pPr>
        <w:pStyle w:val="TextBody"/>
        <w:bidi w:val="0"/>
        <w:spacing w:before="320" w:after="0"/>
        <w:jc w:val="left"/>
        <w:rPr>
          <w:rFonts w:ascii="arial" w:hAnsi="arial"/>
          <w:b/>
          <w:sz w:val="24"/>
        </w:rPr>
      </w:pPr>
      <w:r>
        <w:rPr>
          <w:rFonts w:ascii="arial" w:hAnsi="arial"/>
          <w:b/>
          <w:sz w:val="24"/>
        </w:rPr>
        <w:t xml:space="preserve">Competition </w:t>
      </w:r>
    </w:p>
    <w:p>
      <w:pPr>
        <w:pStyle w:val="TextBody"/>
        <w:bidi w:val="0"/>
        <w:spacing w:before="160" w:after="0"/>
        <w:jc w:val="left"/>
        <w:rPr>
          <w:rFonts w:ascii="arial" w:hAnsi="arial"/>
          <w:sz w:val="20"/>
        </w:rPr>
      </w:pPr>
      <w:r>
        <w:rPr>
          <w:rFonts w:ascii="arial" w:hAnsi="arial"/>
          <w:sz w:val="20"/>
        </w:rPr>
        <w:t xml:space="preserve">The proteomics market is characterized by intense competition and rapid innovation. A number of companies, spanning both established organizations and emerging ventures, are engaged in the development,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manufacturing and marketing of products for applications in proteomic analysis and protein detection from biofluids. To our knowledge, no single proteomics technology has addressed the entire customer journey from discovery to diagnostics given the performance trade-offs of sensitivity, specificity, multiplexing, dynamic range, and automation. We believe that NULISA represents the only platform with both high sensitivity and flexible multiplexing, which are critical to measuring the proteome, and is also the only platform that offers Precision Proteomics from single plex to 100’s of plex without compromise in performance analytics, which for the first time enables customers to go from discovery to clinical implementation with a single technology. Coupled with our fully automated ARGO instrument, this is a unique solution in the proteomics market. </w:t>
      </w:r>
    </w:p>
    <w:p>
      <w:pPr>
        <w:pStyle w:val="TextBody"/>
        <w:bidi w:val="0"/>
        <w:spacing w:before="160" w:after="0"/>
        <w:jc w:val="left"/>
        <w:rPr>
          <w:rFonts w:ascii="arial" w:hAnsi="arial"/>
          <w:sz w:val="20"/>
        </w:rPr>
      </w:pPr>
      <w:r>
        <w:rPr>
          <w:rFonts w:ascii="arial" w:hAnsi="arial"/>
          <w:sz w:val="20"/>
        </w:rPr>
        <w:t xml:space="preserve">Our current primary competitors across translational research include Olink (Thermo Fisher) and Quanterix, among others offering high-sensitivity immunoassays, multiplex affinity-based assays and non-affinity mass spectrometry. Many of these companies either offer high sensitivity with low-plex or low sensitivity with high plex. However, both high sensitivity and high plex are required to measure critical protein biomarkers. In the future, we expect we will also compete through our diagnostics enablement strategy in the clinical diagnostics space as we continue to expand into low-plex and custom assay formats and offer next-generation instruments to enable clinical applications. </w:t>
      </w:r>
    </w:p>
    <w:p>
      <w:pPr>
        <w:pStyle w:val="TextBody"/>
        <w:bidi w:val="0"/>
        <w:spacing w:before="160" w:after="0"/>
        <w:jc w:val="left"/>
        <w:rPr>
          <w:rFonts w:ascii="arial" w:hAnsi="arial"/>
          <w:sz w:val="20"/>
        </w:rPr>
      </w:pPr>
      <w:r>
        <w:rPr>
          <w:rFonts w:ascii="arial" w:hAnsi="arial"/>
          <w:sz w:val="20"/>
        </w:rPr>
        <w:t xml:space="preserve">Several of these competitors possess significantly greater resources than our organization (including larger research and development teams, and more extensive marketing, service, distribution and sales operations), and have more brand recognition, more significant intellectual property portfolios, and larger scale manufacturing capabilities. However, we believe we are significantly differentiated from our competitors for many reasons, including the limitations of traditional protein analysis technologies that often result in trade-offs among sensitivity, specificity, multiplexing, dynamic range and automation. As a result, customers currently must rely on purchasing technologies from different providers to address varied needs rather than using an all-in-one solution like our platform. In addition, current high-plex discovery platforms lack a clear and predictable path towards translation and clinical diagnostics without switching to a different translational and clinical diagnostic platform. Further, many of these platforms rely on complex, labor-intensive workflows that limit automation and create challenges with scalability. </w:t>
      </w:r>
    </w:p>
    <w:p>
      <w:pPr>
        <w:pStyle w:val="TextBody"/>
        <w:bidi w:val="0"/>
        <w:spacing w:before="160" w:after="0"/>
        <w:jc w:val="left"/>
        <w:rPr>
          <w:rFonts w:ascii="arial" w:hAnsi="arial"/>
          <w:sz w:val="20"/>
        </w:rPr>
      </w:pPr>
      <w:r>
        <w:rPr>
          <w:rFonts w:ascii="arial" w:hAnsi="arial"/>
          <w:sz w:val="20"/>
        </w:rPr>
        <w:t xml:space="preserve">Our commercial prospects may be diminished should competitors introduce products or services that demonstrate exceptional performance, enhanced convenience or improved cost-effectiveness relative to our offerings. Nonetheless, we consider our proprietary platform to be fundamentally differentiated, as we are uniquely positioned to deliver across all technical criteria essential for converting proteomic discoveries into clinical biomarker assays. These include ultra-high sensitivity, high specificity, flexible multiplexing, broad dynamic range and seamless automation. </w:t>
      </w:r>
    </w:p>
    <w:p>
      <w:pPr>
        <w:pStyle w:val="TextBody"/>
        <w:bidi w:val="0"/>
        <w:spacing w:before="320" w:after="0"/>
        <w:jc w:val="left"/>
        <w:rPr>
          <w:rFonts w:ascii="arial" w:hAnsi="arial"/>
          <w:b/>
          <w:sz w:val="24"/>
        </w:rPr>
      </w:pPr>
      <w:r>
        <w:rPr>
          <w:rFonts w:ascii="arial" w:hAnsi="arial"/>
          <w:b/>
          <w:sz w:val="24"/>
        </w:rPr>
        <w:t xml:space="preserve">Research and development </w:t>
      </w:r>
    </w:p>
    <w:p>
      <w:pPr>
        <w:pStyle w:val="TextBody"/>
        <w:bidi w:val="0"/>
        <w:spacing w:before="160" w:after="0"/>
        <w:jc w:val="left"/>
        <w:rPr>
          <w:rFonts w:ascii="arial" w:hAnsi="arial"/>
          <w:sz w:val="20"/>
        </w:rPr>
      </w:pPr>
      <w:r>
        <w:rPr>
          <w:rFonts w:ascii="arial" w:hAnsi="arial"/>
          <w:sz w:val="20"/>
        </w:rPr>
        <w:t xml:space="preserve">Our technology is purpose-built to offer ultra-high sensitivity, high specificity, flexible multiplexing, broad dynamic range, and seamless automation with platform applications across the entire biomarker continuum. At the core of our success is a world-class team with deep expertise in assay development, robotics, chemistry, engineering and product manufacturing, enabling us to create a platform that is highly differentiated and positioned to capture significant market share. Our overarching goal is to enable the earliest detection of disease through Precision Proteomics and empower researchers and clinicians with actionable insights that drive better outcomes. To achieve this, we are committed to the continuous improvement of our technology and platform and broadening the scope of its applications. Our research and development efforts are guided by active engagement with KOLs, customers and the broader research community, ensuring that our innovation pipeline remains responsive to emerging scientific and clinical needs. As a result, we are focused on enhancing our technology, instrumentation, consumables and software to serve a diverse customer base and address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full spectrum of biomarker discovery, translational research, and clinical diagnostics. To this end, we plan to focus our research and development efforts in the following areas: </w:t>
      </w:r>
    </w:p>
    <w:p>
      <w:pPr>
        <w:pStyle w:val="TextBody"/>
        <w:bidi w:val="0"/>
        <w:spacing w:before="160" w:after="0"/>
        <w:jc w:val="left"/>
        <w:rPr>
          <w:rFonts w:ascii="arial" w:hAnsi="arial"/>
          <w:sz w:val="20"/>
        </w:rPr>
      </w:pPr>
      <w:r>
        <w:rPr>
          <w:rFonts w:ascii="arial" w:hAnsi="arial"/>
          <w:b/>
          <w:i/>
          <w:sz w:val="20"/>
        </w:rPr>
        <w:t>NULISA technology</w:t>
      </w:r>
      <w:r>
        <w:rPr>
          <w:rFonts w:ascii="arial" w:hAnsi="arial"/>
          <w:b/>
          <w:sz w:val="20"/>
        </w:rPr>
        <w:t>.</w:t>
      </w:r>
      <w:r>
        <w:rPr>
          <w:rFonts w:ascii="arial" w:hAnsi="arial"/>
          <w:sz w:val="20"/>
        </w:rPr>
        <w:t xml:space="preserve"> NULISA achieves ultra-high sensitivity through proprietary mechanisms of assay background noise suppression, enabling the reliable detection of low-abundance protein targets in complex biofluids. We plan to continue enhancing our background noise suppression capabilities to further improve assay sensitivity, specificity and dynamic range. Further, our research and development will also focus on developing flexible multiplexing capabilities enabling variable content to support the growing demand in translational research. </w:t>
      </w:r>
    </w:p>
    <w:p>
      <w:pPr>
        <w:pStyle w:val="TextBody"/>
        <w:bidi w:val="0"/>
        <w:spacing w:before="160" w:after="0"/>
        <w:jc w:val="left"/>
        <w:rPr>
          <w:rFonts w:ascii="arial" w:hAnsi="arial"/>
          <w:sz w:val="20"/>
        </w:rPr>
      </w:pPr>
      <w:r>
        <w:rPr>
          <w:rFonts w:ascii="arial" w:hAnsi="arial"/>
          <w:b/>
          <w:i/>
          <w:sz w:val="20"/>
        </w:rPr>
        <w:t>NULISA assay menu expansion</w:t>
      </w:r>
      <w:r>
        <w:rPr>
          <w:rFonts w:ascii="arial" w:hAnsi="arial"/>
          <w:b/>
          <w:sz w:val="20"/>
        </w:rPr>
        <w:t>.</w:t>
      </w:r>
      <w:r>
        <w:rPr>
          <w:rFonts w:ascii="arial" w:hAnsi="arial"/>
          <w:sz w:val="20"/>
        </w:rPr>
        <w:t xml:space="preserve"> By integrating input from KOLs, customers and the latest scientific literature, we have developed our flagship CNS Disease Panel 120 and our expanded Neuro 220 Panel for Alzheimer’s disease and related neurodegenerative diseases, as well as our Inflammation Panel 250 for inflammation. We will continue this approach to build new targeted multiplex panels for additional disease and research areas, such as cardiovascular disease, metabolic disease and oncology. Additionally, we aim to rapidly expand our coverage of the human proteome to enable the interrogation of low-abundance proteome. Leveraging the flexibility and scalability of our platform, we will also develop assays dedicated to specific applications, such as a biological aging panel for large-scale population health monitoring research. For the diagnostic market, we are developing a portfolio of diagnostic-grade assays in various formats, including single-plex and low-multiplex, to support clinical trials of new therapies and precision diagnostics. We intend to work closely with diagnostic partners to develop FDA-cleared IVDs for high-value diagnostic tests, further expanding the reach and impact of our platform. </w:t>
      </w:r>
    </w:p>
    <w:p>
      <w:pPr>
        <w:pStyle w:val="TextBody"/>
        <w:bidi w:val="0"/>
        <w:spacing w:before="160" w:after="0"/>
        <w:jc w:val="left"/>
        <w:rPr>
          <w:rFonts w:ascii="arial" w:hAnsi="arial"/>
          <w:sz w:val="20"/>
        </w:rPr>
      </w:pPr>
      <w:r>
        <w:rPr>
          <w:rFonts w:ascii="arial" w:hAnsi="arial"/>
          <w:b/>
          <w:i/>
          <w:sz w:val="20"/>
        </w:rPr>
        <w:t>ARGO for clinical diagnostics</w:t>
      </w:r>
      <w:r>
        <w:rPr>
          <w:rFonts w:ascii="arial" w:hAnsi="arial"/>
          <w:b/>
          <w:sz w:val="20"/>
        </w:rPr>
        <w:t>.</w:t>
      </w:r>
      <w:r>
        <w:rPr>
          <w:rFonts w:ascii="arial" w:hAnsi="arial"/>
          <w:sz w:val="20"/>
        </w:rPr>
        <w:t xml:space="preserve"> For the clinical market, and with support from the ADDF’s Diagnostics Accelerator, we are evolving our current RUO platform into a diagnostic platform that we plan to further develop and submit to the FDA for marketing authorization in 2027. This will provide a direct path for translating biomarker discoveries into clinical applications and enable clinical implementation by third-party developers and providers. We are committed to maintaining the highest regulatory and quality standards, including ISO 13485 certification, as we expand into clinical diagnostics. </w:t>
      </w:r>
    </w:p>
    <w:p>
      <w:pPr>
        <w:pStyle w:val="TextBody"/>
        <w:bidi w:val="0"/>
        <w:spacing w:before="160" w:after="0"/>
        <w:jc w:val="left"/>
        <w:rPr>
          <w:rFonts w:ascii="arial" w:hAnsi="arial"/>
          <w:sz w:val="20"/>
        </w:rPr>
      </w:pPr>
      <w:r>
        <w:rPr>
          <w:rFonts w:ascii="arial" w:hAnsi="arial"/>
          <w:b/>
          <w:i/>
          <w:sz w:val="20"/>
        </w:rPr>
        <w:t>ARGO democratization</w:t>
      </w:r>
      <w:r>
        <w:rPr>
          <w:rFonts w:ascii="arial" w:hAnsi="arial"/>
          <w:b/>
          <w:sz w:val="20"/>
        </w:rPr>
        <w:t>.</w:t>
      </w:r>
      <w:r>
        <w:rPr>
          <w:rFonts w:ascii="arial" w:hAnsi="arial"/>
          <w:sz w:val="20"/>
        </w:rPr>
        <w:t xml:space="preserve"> To further expand access to Precision Proteomics, we are developing an integrated and low-cost instrumentation system for individual labs and small institutions to routinely run NULISA assays and benefit from fully automated, sample-to-result workflows. By lowering barriers to adoption, we aim to foster a broader ecosystem of users and accelerate the pace of biomarker analysis. </w:t>
      </w:r>
    </w:p>
    <w:p>
      <w:pPr>
        <w:pStyle w:val="TextBody"/>
        <w:bidi w:val="0"/>
        <w:spacing w:before="160" w:after="0"/>
        <w:jc w:val="left"/>
        <w:rPr>
          <w:rFonts w:ascii="arial" w:hAnsi="arial"/>
          <w:sz w:val="20"/>
        </w:rPr>
      </w:pPr>
      <w:r>
        <w:rPr>
          <w:rFonts w:ascii="arial" w:hAnsi="arial"/>
          <w:b/>
          <w:i/>
          <w:sz w:val="20"/>
        </w:rPr>
        <w:t>NULISA data analysis software</w:t>
      </w:r>
      <w:r>
        <w:rPr>
          <w:rFonts w:ascii="arial" w:hAnsi="arial"/>
          <w:b/>
          <w:sz w:val="20"/>
        </w:rPr>
        <w:t>.</w:t>
      </w:r>
      <w:r>
        <w:rPr>
          <w:rFonts w:ascii="arial" w:hAnsi="arial"/>
          <w:sz w:val="20"/>
        </w:rPr>
        <w:t xml:space="preserve"> Our NULISA analysis software offers a user-friendly web application with comprehensive statistical methods and data visualization tools for quality control, exploration and analysis of NULISA data. For advanced users, we provide open-source software to further extend functionality and support custom analyses. We are continuously enhancing our software offerings, integrating advanced machine learning algorithms and generative AI models to enable deeper biological insights from increasingly large NULISA datasets. Additionally, we are collaborating with public databases such as the Alzheimer’s Disease Data Initiative to enable integrated, multi-omics analysis and support broader scientific discovery. </w:t>
      </w:r>
    </w:p>
    <w:p>
      <w:pPr>
        <w:pStyle w:val="TextBody"/>
        <w:bidi w:val="0"/>
        <w:spacing w:before="160" w:after="0"/>
        <w:jc w:val="left"/>
        <w:rPr>
          <w:rFonts w:ascii="arial" w:hAnsi="arial"/>
          <w:sz w:val="20"/>
        </w:rPr>
      </w:pPr>
      <w:r>
        <w:rPr>
          <w:rFonts w:ascii="arial" w:hAnsi="arial"/>
          <w:sz w:val="20"/>
        </w:rPr>
        <w:t xml:space="preserve">We are committed to remaining nimble and responsive to changes in the market, ensuring that our innovation pipeline and product offerings continue to meet the evolving needs of our customers and the broader scientific community. To support this commitment, beyond our core research and development focus areas, we intend to pursue both internal development and strategic acquisitions of new technologies that complement or enhance our existing portfolio. For the years ended December 31, 2024 and 2025, our research and development costs were $39.2 million and $37.5 million, respectively. As of December 31, 2025, we employed 99 employees in research and development. Looking forward, we will continue to invest in efforts to support the ongoing development of our instruments, consumables and software, as well as enhance the overall performance of our solutions.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Suppliers and manufacturing </w:t>
      </w:r>
    </w:p>
    <w:p>
      <w:pPr>
        <w:pStyle w:val="TextBody"/>
        <w:bidi w:val="0"/>
        <w:spacing w:before="160" w:after="0"/>
        <w:jc w:val="left"/>
        <w:rPr>
          <w:rFonts w:ascii="arial" w:hAnsi="arial"/>
          <w:sz w:val="20"/>
        </w:rPr>
      </w:pPr>
      <w:r>
        <w:rPr>
          <w:rFonts w:ascii="arial" w:hAnsi="arial"/>
          <w:sz w:val="20"/>
        </w:rPr>
        <w:t xml:space="preserve">Our manufacturing and supply chain operations are responsible for sourcing the antibodies and other reagents and components that we use in our immunoassay kit products, as well as certain modules and components used in our ARGO HT System. </w:t>
      </w:r>
    </w:p>
    <w:p>
      <w:pPr>
        <w:pStyle w:val="TextBody"/>
        <w:bidi w:val="0"/>
        <w:spacing w:before="160" w:after="0"/>
        <w:jc w:val="left"/>
        <w:rPr>
          <w:rFonts w:ascii="arial" w:hAnsi="arial"/>
          <w:sz w:val="20"/>
        </w:rPr>
      </w:pPr>
      <w:r>
        <w:rPr>
          <w:rFonts w:ascii="arial" w:hAnsi="arial"/>
          <w:sz w:val="20"/>
        </w:rPr>
        <w:t xml:space="preserve">The majority of the antibodies we use in our NULISA assay are sourced from carefully evaluated and approved third-party suppliers. These antibody manufacturing operations include supplier qualification, incoming quality control, inventory management and integration of third-party materials into our assay development and production workflows. We require high-quality antibodies to develop and manufacture our products. Currently, the majority of antibodies we use are supplied to us by a single supplier, with which we have entered into a formal supplier agreement that includes supply continuity provisions. Each antibody we utilize is unique and therefore cannot be sourced from other suppliers in identical forms. However, alternative antibodies from other vendors may be available that bind to the same protein targets of interest, though they would differ in sequence, structure and performance characteristics. </w:t>
      </w:r>
    </w:p>
    <w:p>
      <w:pPr>
        <w:pStyle w:val="TextBody"/>
        <w:bidi w:val="0"/>
        <w:spacing w:before="160" w:after="0"/>
        <w:jc w:val="left"/>
        <w:rPr>
          <w:rFonts w:ascii="arial" w:hAnsi="arial"/>
          <w:sz w:val="20"/>
        </w:rPr>
      </w:pPr>
      <w:r>
        <w:rPr>
          <w:rFonts w:ascii="arial" w:hAnsi="arial"/>
          <w:sz w:val="20"/>
        </w:rPr>
        <w:t xml:space="preserve">All of our consumable kit products are manufactured in-house at our facilities in Fremont, California. These manufacturing operations include antibody conjugation, reagent formulation, lyophilization, vial and primer-plate filling, kit assembly and packaging, equipment calibration and maintenance, and analytical and functional quality control testing. We achieved ISO 13485:2016 certification in 2024, which covers the design and manufacture of medical and laboratory instruments and associated reagents. </w:t>
      </w:r>
    </w:p>
    <w:p>
      <w:pPr>
        <w:pStyle w:val="TextBody"/>
        <w:bidi w:val="0"/>
        <w:spacing w:before="160" w:after="0"/>
        <w:jc w:val="left"/>
        <w:rPr>
          <w:rFonts w:ascii="arial" w:hAnsi="arial"/>
          <w:sz w:val="20"/>
        </w:rPr>
      </w:pPr>
      <w:r>
        <w:rPr>
          <w:rFonts w:ascii="arial" w:hAnsi="arial"/>
          <w:sz w:val="20"/>
        </w:rPr>
        <w:t xml:space="preserve">We obtain other components of our consumable kit products from third-party suppliers. While some of these components are sourced from single suppliers, we have qualified second sources for most, but not all our critical components and reagents. We believe that having dual sources for our components helps reduce the risk of a production delay caused by a disruption in the supply of a critical component. For further discussion of the risks relating to our third-party suppliers, see the section titled “Risk factors—Risks related to our business and industry—We are dependent on single source and sole source suppliers for some of the equipment, components and materials used in our products and in conjunction with our products, and the loss of any of these suppliers could harm our business.” </w:t>
      </w:r>
    </w:p>
    <w:p>
      <w:pPr>
        <w:pStyle w:val="TextBody"/>
        <w:bidi w:val="0"/>
        <w:spacing w:before="160" w:after="0"/>
        <w:jc w:val="left"/>
        <w:rPr>
          <w:rFonts w:ascii="arial" w:hAnsi="arial"/>
          <w:sz w:val="20"/>
        </w:rPr>
      </w:pPr>
      <w:r>
        <w:rPr>
          <w:rFonts w:ascii="arial" w:hAnsi="arial"/>
          <w:sz w:val="20"/>
        </w:rPr>
        <w:t xml:space="preserve">We currently outsource manufacturing for our ARGO HT instrument to GENER8, a qualified contract manufacturer that has represented to us that it maintains ISO 9001 and ISO 13485 certifications. See “—Supply agreements—GENER8 Supply Agreement” below for further details. We have also established a relationship with a second contract manufacturer with ISO 13485 certification for the development and production of our prototype ARGO HT/DX system. </w:t>
      </w:r>
    </w:p>
    <w:p>
      <w:pPr>
        <w:pStyle w:val="TextBody"/>
        <w:bidi w:val="0"/>
        <w:spacing w:before="320" w:after="0"/>
        <w:jc w:val="left"/>
        <w:rPr>
          <w:rFonts w:ascii="arial" w:hAnsi="arial"/>
          <w:b/>
          <w:sz w:val="24"/>
        </w:rPr>
      </w:pPr>
      <w:r>
        <w:rPr>
          <w:rFonts w:ascii="arial" w:hAnsi="arial"/>
          <w:b/>
          <w:sz w:val="24"/>
        </w:rPr>
        <w:t xml:space="preserve">Supply agreements </w:t>
      </w:r>
    </w:p>
    <w:p>
      <w:pPr>
        <w:pStyle w:val="TextBody"/>
        <w:bidi w:val="0"/>
        <w:spacing w:before="160" w:after="0"/>
        <w:jc w:val="left"/>
        <w:rPr>
          <w:rFonts w:ascii="arial" w:hAnsi="arial"/>
          <w:b/>
          <w:i/>
          <w:sz w:val="20"/>
        </w:rPr>
      </w:pPr>
      <w:r>
        <w:rPr>
          <w:rFonts w:ascii="arial" w:hAnsi="arial"/>
          <w:b/>
          <w:i/>
          <w:sz w:val="20"/>
        </w:rPr>
        <w:t xml:space="preserve">Abcam Supply Agreement </w:t>
      </w:r>
    </w:p>
    <w:p>
      <w:pPr>
        <w:pStyle w:val="TextBody"/>
        <w:bidi w:val="0"/>
        <w:spacing w:before="160" w:after="0"/>
        <w:jc w:val="left"/>
        <w:rPr>
          <w:rFonts w:ascii="arial" w:hAnsi="arial"/>
          <w:sz w:val="20"/>
        </w:rPr>
      </w:pPr>
      <w:r>
        <w:rPr>
          <w:rFonts w:ascii="arial" w:hAnsi="arial"/>
          <w:sz w:val="20"/>
        </w:rPr>
        <w:t xml:space="preserve">In September 2021, we entered into a Research Use Only Affinity Reagent Supply Agreement with Abcam Inc. (“Abcam”), which was subsequently amended in August 2023 and December 2025 (such agreement, as amended, the “Abcam Agreement”). Under the Abcam Agreement, Abcam will supply to us, and we will purchase from Abcam, certain antibody-based affinity reagents, pursuant to a forecast and ordering mechanism specified in the agreement. Abcam also granted to us a non-exclusive, irrevocable, worldwide, non-sublicensable, non-transferable and royalty bearing license to use and fully exploit intellectual property rights in and to such affinity reagents to develop, manufacture, commercialize and otherwise fully exploit the products and services in the research field and/or diagnostic field, as specified in and subject to certain exceptions as set forth in the agreement. We will pay Abcam for the affinity reagents at a price specified in the agreement and will also pay Abcam a mid-single digit running royalty on the net sales of products and services sold by us that contain or consume the affinity reagent supplied by Abcam under the Abcam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Unless terminated earlier, the Abcam Agreement will continue for an initial term of 10 years. Thereafter, the Abcam Agreement will automatically renew each year, unless either party provides 12 months’ written termination notice to the other party. The Abcam Agreement may be terminated by either party for the other party’s uncured material breach or voluntary or involuntary bankruptcy. In addition, Abcam may terminate the supply of any affinity reagent on a purchase order-by-purchase order basis if Abcam reasonably believes that the supply of such affinity reagent is likely to be infringing the intellectual property rights or other rights of any third party, technically infeasible, difficult or unreasonable costly, in which case Abcam will use reasonable efforts to provide alternative affinity reagents and will refund amount received for the terminated purchase order. </w:t>
      </w:r>
    </w:p>
    <w:p>
      <w:pPr>
        <w:pStyle w:val="TextBody"/>
        <w:bidi w:val="0"/>
        <w:spacing w:before="320" w:after="0"/>
        <w:jc w:val="left"/>
        <w:rPr>
          <w:rFonts w:ascii="arial" w:hAnsi="arial"/>
          <w:b/>
          <w:i/>
          <w:sz w:val="20"/>
        </w:rPr>
      </w:pPr>
      <w:r>
        <w:rPr>
          <w:rFonts w:ascii="arial" w:hAnsi="arial"/>
          <w:b/>
          <w:i/>
          <w:sz w:val="20"/>
        </w:rPr>
        <w:t xml:space="preserve">GENER8 Supply Agreement </w:t>
      </w:r>
    </w:p>
    <w:p>
      <w:pPr>
        <w:pStyle w:val="TextBody"/>
        <w:bidi w:val="0"/>
        <w:spacing w:before="160" w:after="0"/>
        <w:jc w:val="left"/>
        <w:rPr>
          <w:rFonts w:ascii="arial" w:hAnsi="arial"/>
          <w:sz w:val="20"/>
        </w:rPr>
      </w:pPr>
      <w:r>
        <w:rPr>
          <w:rFonts w:ascii="arial" w:hAnsi="arial"/>
          <w:sz w:val="20"/>
        </w:rPr>
        <w:t xml:space="preserve">In July 2025, we entered into a Second Amended and Restated Commercial Supply Agreement with GENER8 (the “GENER8 Agreement”). Under the GENER8 Agreement, GENER8 will manufacture and supply to us, and we will purchase from GENER8, the ARGO HT instrument and related products, pursuant to a forecast and ordering mechanism specified in the agreement. We will pay GENER8 for the products at a price specified in the agreement, and GENER8 is required to use commercially reasonable efforts to reduce the cost of the product and share the benefit of cost reduction with us through price reduction. </w:t>
      </w:r>
    </w:p>
    <w:p>
      <w:pPr>
        <w:pStyle w:val="TextBody"/>
        <w:bidi w:val="0"/>
        <w:spacing w:before="160" w:after="0"/>
        <w:jc w:val="left"/>
        <w:rPr>
          <w:rFonts w:ascii="arial" w:hAnsi="arial"/>
          <w:sz w:val="20"/>
        </w:rPr>
      </w:pPr>
      <w:r>
        <w:rPr>
          <w:rFonts w:ascii="arial" w:hAnsi="arial"/>
          <w:sz w:val="20"/>
        </w:rPr>
        <w:t xml:space="preserve">Unless terminated earlier, the GENER8 Agreement will continue until the later of December 31, 2026 or the delivery of products covered by an accepted purchase agreement. Thereafter, the GENER8 Agreement will automatically renew each year, unless either party provides 6 months’ written termination notice to the other party. The GENER8 Agreement may be terminated by either party for the other party’s uncured material breach. In addition, we may terminate the GENER8 Agreement for convenience upon prior written notice. </w:t>
      </w:r>
    </w:p>
    <w:p>
      <w:pPr>
        <w:pStyle w:val="TextBody"/>
        <w:bidi w:val="0"/>
        <w:spacing w:before="320" w:after="0"/>
        <w:jc w:val="left"/>
        <w:rPr>
          <w:rFonts w:ascii="arial" w:hAnsi="arial"/>
          <w:b/>
          <w:sz w:val="24"/>
        </w:rPr>
      </w:pPr>
      <w:r>
        <w:rPr>
          <w:rFonts w:ascii="arial" w:hAnsi="arial"/>
          <w:b/>
          <w:sz w:val="24"/>
        </w:rPr>
        <w:t xml:space="preserve">Government regulation </w:t>
      </w:r>
    </w:p>
    <w:p>
      <w:pPr>
        <w:pStyle w:val="TextBody"/>
        <w:bidi w:val="0"/>
        <w:spacing w:before="160" w:after="0"/>
        <w:jc w:val="left"/>
        <w:rPr>
          <w:rFonts w:ascii="arial" w:hAnsi="arial"/>
          <w:b/>
          <w:i/>
          <w:sz w:val="20"/>
        </w:rPr>
      </w:pPr>
      <w:r>
        <w:rPr>
          <w:rFonts w:ascii="arial" w:hAnsi="arial"/>
          <w:b/>
          <w:i/>
          <w:sz w:val="20"/>
        </w:rPr>
        <w:t xml:space="preserve">FDA regulation of research use only in vitro diagnostic products </w:t>
      </w:r>
    </w:p>
    <w:p>
      <w:pPr>
        <w:pStyle w:val="TextBody"/>
        <w:bidi w:val="0"/>
        <w:spacing w:before="160" w:after="0"/>
        <w:jc w:val="left"/>
        <w:rPr>
          <w:rFonts w:ascii="arial" w:hAnsi="arial"/>
          <w:sz w:val="20"/>
        </w:rPr>
      </w:pPr>
      <w:r>
        <w:rPr>
          <w:rFonts w:ascii="arial" w:hAnsi="arial"/>
          <w:sz w:val="20"/>
        </w:rPr>
        <w:t xml:space="preserve">Our products are labeled as research use only (“RUO”) and are not intended for clinical diagnostic use. RUO products are in vitro diagnostic (“IVD”) products regulated by the FDA as medical devices and are used exclusively for research. RUO products are not intended for clinical diagnostic use and therefore their use is not subject to the FDA’s investigational device exemption requirements. Although medical devices are subject to stringent FDA oversight, RUO products are exempt from compliance with most FDA requirements, including premarket review and marketing authorization, manufacturing requirements and others. A product labeled as RUO but which is actually intended for clinical diagnostic use, however, is adulterated and misbranded under the Federal Food, Drug, and Cosmetic Act (“FDC Act”), and subject to FDA enforcement action. The FDA has indicated that when determining the intended use of a product, including RUO products, the FDA will consider any relevant evidence, and will consider the totality of the circumstances surrounding distribution and use of the product, including how and to whom the product is marketed. The FDA may proceed with enforcement action for improperly marketed or otherwise violative products that, among other things, could require a company to cease marketing any commercially marketed RUO products until marketing authorization is obtained. </w:t>
      </w:r>
    </w:p>
    <w:p>
      <w:pPr>
        <w:pStyle w:val="TextBody"/>
        <w:bidi w:val="0"/>
        <w:spacing w:before="320" w:after="0"/>
        <w:jc w:val="left"/>
        <w:rPr>
          <w:rFonts w:ascii="arial" w:hAnsi="arial"/>
          <w:b/>
          <w:i/>
          <w:sz w:val="20"/>
        </w:rPr>
      </w:pPr>
      <w:r>
        <w:rPr>
          <w:rFonts w:ascii="arial" w:hAnsi="arial"/>
          <w:b/>
          <w:i/>
          <w:sz w:val="20"/>
        </w:rPr>
        <w:t xml:space="preserve">FDA regulation of medical devices </w:t>
      </w:r>
    </w:p>
    <w:p>
      <w:pPr>
        <w:pStyle w:val="TextBody"/>
        <w:bidi w:val="0"/>
        <w:spacing w:before="160" w:after="0"/>
        <w:jc w:val="left"/>
        <w:rPr>
          <w:rFonts w:ascii="arial" w:hAnsi="arial"/>
          <w:sz w:val="20"/>
        </w:rPr>
      </w:pPr>
      <w:r>
        <w:rPr>
          <w:rFonts w:ascii="arial" w:hAnsi="arial"/>
          <w:sz w:val="20"/>
        </w:rPr>
        <w:t xml:space="preserve">We are developing products that are intended for clinical diagnostic uses, and such products will be regulated by the FDA as medical devices. In the United States, before a medical device can be marketed, or a new use of, or a significant modification to an existing medical device that is not exempt from premarket review requirements or is not subject to an established FDA enforcement discretion policy can be marketed, the product must first receive marketing authorization for the product from FDA either through clearance of a 510(k) submission, approval of a premarket approval (“PMA”) application, or grant of a </w:t>
      </w:r>
      <w:r>
        <w:rPr>
          <w:rFonts w:ascii="arial" w:hAnsi="arial"/>
          <w:i/>
          <w:sz w:val="20"/>
        </w:rPr>
        <w:t>de novo</w:t>
      </w:r>
      <w:r>
        <w:rPr>
          <w:rFonts w:ascii="arial" w:hAnsi="arial"/>
          <w:sz w:val="20"/>
        </w:rPr>
        <w:t xml:space="preserve"> classification request.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the 510(k) clearance process, before a device may be marketed, the FDA must determine that a proposed device is “substantially equivalent” to a “predicate” device (i.e., a legally marketed device), which includes a device that has been previously cleared through the 510(k) process, a device that was legally marketed prior to May 28, 1976 (pre-amendments device), or a device that was originally on the U.S. market pursuant to an approved PMA and later down-classified.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w:t>
      </w:r>
    </w:p>
    <w:p>
      <w:pPr>
        <w:pStyle w:val="TextBody"/>
        <w:bidi w:val="0"/>
        <w:spacing w:before="160" w:after="0"/>
        <w:jc w:val="left"/>
        <w:rPr>
          <w:rFonts w:ascii="arial" w:hAnsi="arial"/>
          <w:sz w:val="20"/>
        </w:rPr>
      </w:pPr>
      <w:r>
        <w:rPr>
          <w:rFonts w:ascii="arial" w:hAnsi="arial"/>
          <w:sz w:val="20"/>
        </w:rPr>
        <w:t xml:space="preserve">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w:t>
      </w:r>
    </w:p>
    <w:p>
      <w:pPr>
        <w:pStyle w:val="TextBody"/>
        <w:bidi w:val="0"/>
        <w:spacing w:before="160" w:after="0"/>
        <w:jc w:val="left"/>
        <w:rPr>
          <w:rFonts w:ascii="arial" w:hAnsi="arial"/>
          <w:sz w:val="20"/>
        </w:rPr>
      </w:pPr>
      <w:r>
        <w:rPr>
          <w:rFonts w:ascii="arial" w:hAnsi="arial"/>
          <w:sz w:val="20"/>
        </w:rPr>
        <w:t xml:space="preserve">In the de novo classification process, a manufacturer whose device of a new type under the FDC Act is automatically classified as Class III and would otherwise require the submission and approval of a PMA prior to marketing is able to request down-classification of the device to Class I or Class II on the basis that the device presents a low or moderate risk. If the FDA grants the </w:t>
      </w:r>
      <w:r>
        <w:rPr>
          <w:rFonts w:ascii="arial" w:hAnsi="arial"/>
          <w:i/>
          <w:sz w:val="20"/>
        </w:rPr>
        <w:t xml:space="preserve">de novo </w:t>
      </w:r>
      <w:r>
        <w:rPr>
          <w:rFonts w:ascii="arial" w:hAnsi="arial"/>
          <w:sz w:val="20"/>
        </w:rPr>
        <w:t xml:space="preserve">classification request, the requester will receive authorization to market the device. This device type may be used subsequently as a predicate device for future 510(k) submissions. </w:t>
      </w:r>
    </w:p>
    <w:p>
      <w:pPr>
        <w:pStyle w:val="TextBody"/>
        <w:bidi w:val="0"/>
        <w:spacing w:before="160" w:after="0"/>
        <w:jc w:val="left"/>
        <w:rPr>
          <w:rFonts w:ascii="arial" w:hAnsi="arial"/>
          <w:sz w:val="20"/>
        </w:rPr>
      </w:pPr>
      <w:r>
        <w:rPr>
          <w:rFonts w:ascii="arial" w:hAnsi="arial"/>
          <w:sz w:val="20"/>
        </w:rPr>
        <w:t xml:space="preserve">Companies with products requiring marketing authorization are subject to a substantial number of additional regulatory requirements, including establishment registration, device listing, Quality Management System Regulation (“QMSR”), which covers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develop may also require clinical trials in order to generate the data required for marketing authorization. Failure to comply with these requirements may result in a range of government actions, including, but not limited to, warning letters or other letters of regulatory significance, injunctions, civil monetary penalties, criminal prosecution, recall and/or seizure of products and revocation of marketing authorization, as well as significant adverse publicity. </w:t>
      </w:r>
    </w:p>
    <w:p>
      <w:pPr>
        <w:pStyle w:val="TextBody"/>
        <w:bidi w:val="0"/>
        <w:spacing w:before="320" w:after="0"/>
        <w:jc w:val="left"/>
        <w:rPr>
          <w:rFonts w:ascii="arial" w:hAnsi="arial"/>
          <w:b/>
          <w:i/>
          <w:sz w:val="20"/>
        </w:rPr>
      </w:pPr>
      <w:r>
        <w:rPr>
          <w:rFonts w:ascii="arial" w:hAnsi="arial"/>
          <w:b/>
          <w:i/>
          <w:sz w:val="20"/>
        </w:rPr>
        <w:t xml:space="preserve">Healthcare regulatory requirements </w:t>
      </w:r>
    </w:p>
    <w:p>
      <w:pPr>
        <w:pStyle w:val="TextBody"/>
        <w:bidi w:val="0"/>
        <w:spacing w:before="160" w:after="0"/>
        <w:jc w:val="left"/>
        <w:rPr>
          <w:rFonts w:ascii="arial" w:hAnsi="arial"/>
          <w:sz w:val="20"/>
        </w:rPr>
      </w:pPr>
      <w:r>
        <w:rPr>
          <w:rFonts w:ascii="arial" w:hAnsi="arial"/>
          <w:sz w:val="20"/>
        </w:rPr>
        <w:t xml:space="preserve">Our customers who use our platform and we, if we expand our product line to include those intended for clinical diagnostic use, may be subject to broadly applicable U.S. federal and state healthcare laws and regulations, including, without limitation, state and federal anti-kickback, fraud and abuse, false claims, data privacy and security and physician sunshine laws and regulations. 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additional regulatory oversight, reputational harm, administrative burdens, diminished profits and future earnings and the curtailment or restructuring of operations. </w:t>
      </w:r>
    </w:p>
    <w:p>
      <w:pPr>
        <w:pStyle w:val="TextBody"/>
        <w:bidi w:val="0"/>
        <w:spacing w:before="160" w:after="0"/>
        <w:jc w:val="left"/>
        <w:rPr>
          <w:rFonts w:ascii="arial" w:hAnsi="arial"/>
          <w:sz w:val="20"/>
        </w:rPr>
      </w:pPr>
      <w:r>
        <w:rPr>
          <w:rFonts w:ascii="arial" w:hAnsi="arial"/>
          <w:sz w:val="20"/>
        </w:rPr>
        <w:t xml:space="preserve">Additionally, 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Similarly, a significant trend in the healthcare industry is cost containment. Third-party payors have attempted to control costs by limiting coverage and the amount of reimbursement for new diagnostic tests, medications and medical devices. Our ability to commercialize our current or future products successfully, and our customers’ ability to commercialize their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products successfully, will depend in part on the extent to which coverage and adequate reimbursement for these products and will be available from third-party payors. </w:t>
      </w:r>
    </w:p>
    <w:p>
      <w:pPr>
        <w:pStyle w:val="TextBody"/>
        <w:bidi w:val="0"/>
        <w:spacing w:before="320" w:after="0"/>
        <w:jc w:val="left"/>
        <w:rPr>
          <w:rFonts w:ascii="arial" w:hAnsi="arial"/>
          <w:b/>
          <w:sz w:val="24"/>
        </w:rPr>
      </w:pPr>
      <w:r>
        <w:rPr>
          <w:rFonts w:ascii="arial" w:hAnsi="arial"/>
          <w:b/>
          <w:sz w:val="24"/>
        </w:rPr>
        <w:t xml:space="preserve">Intellectual property </w:t>
      </w:r>
    </w:p>
    <w:p>
      <w:pPr>
        <w:pStyle w:val="TextBody"/>
        <w:bidi w:val="0"/>
        <w:spacing w:before="160" w:after="0"/>
        <w:jc w:val="left"/>
        <w:rPr>
          <w:rFonts w:ascii="arial" w:hAnsi="arial"/>
          <w:sz w:val="20"/>
        </w:rPr>
      </w:pPr>
      <w:r>
        <w:rPr>
          <w:rFonts w:ascii="arial" w:hAnsi="arial"/>
          <w:sz w:val="20"/>
        </w:rPr>
        <w:t xml:space="preserve">Our success depends, in part, on our ability to obtain, maintain, protect and enforce intellectual property and proprietary rights for our products and technology, as well as our ability to operate without infringing, misappropriating, or otherwise violating the valid and enforceable intellectual property rights of third parties. We use a variety of intellectual property protection strategies, including patents, trademarks, trade secrets and other methods of protecting proprietary information. We own patents in the United States and foreign countries that protect our products, their methods of use and manufacture, as well as other innovations important to our business. We also license from third parties certain patent rights and proprietary know-how that we believe to be necessary or useful to our business. We consider the overall protection of our patents, trademarks, licenses, and other intellectual property rights to be of material value. We also rely on trade secret, know-how, and continuing technological innovation to develop, strengthen, and maintain the proprietary position of our products and development programs. </w:t>
      </w:r>
    </w:p>
    <w:p>
      <w:pPr>
        <w:pStyle w:val="TextBody"/>
        <w:bidi w:val="0"/>
        <w:spacing w:before="160" w:after="0"/>
        <w:jc w:val="left"/>
        <w:rPr>
          <w:rFonts w:ascii="arial" w:hAnsi="arial"/>
          <w:sz w:val="20"/>
        </w:rPr>
      </w:pPr>
      <w:r>
        <w:rPr>
          <w:rFonts w:ascii="arial" w:hAnsi="arial"/>
          <w:sz w:val="20"/>
        </w:rPr>
        <w:t xml:space="preserve">As of December 31, 2025, our owned patent estate contains 15 utility patent families comprising 2 issued U.S. patents, 1 issued foreign patent, 16 pending U.S. patent applications, 8 pending foreign patent applications and 3 pending Patent Cooperation Treaty applications. The 2 issued U.S. patents are expected to expire in 2040, after accounting for potentially available patent term adjustments, and assuming payment of appropriate maintenance, renewal, annuity and other governmental fees. Any patents that may issue from the 16 pending U.S. patent applications are expected to expire between 2040 and 2046, without accounting for potentially available patent term adjustments, term-limiting effects of terminal disclaimers and assuming payment of appropriate maintenance, renewal, annuity and other governmental fees. The 1 issued foreign patent includes one issued patent in Japan, and is expected to expire in 2040, without accounting for potentially available patent term extensions and assuming payment of appropriate maintenance, renewal, annuity and other governmental fees. The 8 pending foreign patent applications include one or more pending applications in jurisdictions such as Europe, China, and Japan, and are expected to expire between 2040 and 2046, without accounting for potentially available patent term extensions and assuming payment of appropriate maintenance, renewal, annuity and other governmental fees. </w:t>
      </w:r>
    </w:p>
    <w:p>
      <w:pPr>
        <w:pStyle w:val="TextBody"/>
        <w:bidi w:val="0"/>
        <w:spacing w:before="160" w:after="0"/>
        <w:jc w:val="left"/>
        <w:rPr>
          <w:rFonts w:ascii="arial" w:hAnsi="arial"/>
          <w:sz w:val="20"/>
        </w:rPr>
      </w:pPr>
      <w:r>
        <w:rPr>
          <w:rFonts w:ascii="arial" w:hAnsi="arial"/>
          <w:sz w:val="20"/>
        </w:rPr>
        <w:t xml:space="preserve">As of December 31, 2025, our owned patent estate also contains 1 design patent family comprising 1 pending U.S. patent, 1 registered foreign patent, and 1 pending foreign patent application. Any patent that may issue from the pending U.S. patent application is expected to expire in 2039, without accounting for potentially available patent term adjustments, term-limiting effects of terminal disclaimers and assuming payment of appropriate maintenance, renewal, annuity and other governmental fees. The registered foreign patent includes one patent in Europe, and is expected to expire in 2049, after accounting for potentially available patent term adjustments, and assuming payment of appropriate maintenance, renewal, annuity and other governmental fees. The pending foreign patent application includes one application in China, and is expected to expire in 2039, without accounting for potentially available patent term adjustments, term-limiting effects of terminal disclaimers and assuming payment of appropriate maintenance, renewal, annuity and other governmental fees. </w:t>
      </w:r>
    </w:p>
    <w:p>
      <w:pPr>
        <w:pStyle w:val="TextBody"/>
        <w:bidi w:val="0"/>
        <w:spacing w:before="160" w:after="0"/>
        <w:jc w:val="left"/>
        <w:rPr>
          <w:rFonts w:ascii="arial" w:hAnsi="arial"/>
          <w:sz w:val="20"/>
        </w:rPr>
      </w:pPr>
      <w:r>
        <w:rPr>
          <w:rFonts w:ascii="arial" w:hAnsi="arial"/>
          <w:sz w:val="20"/>
        </w:rPr>
        <w:t xml:space="preserve">As of December 31, 2025, such patent portfolio owned by us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three issued and seven pending patent applications that are directed to highly sensitive immunoassays that utilize a capture-and-release mechanism to reduce non-specific binding,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six pending applications that are directed to automated instruments and methods for executing capture-and-release immunoassays, such as those used in the ARGO HT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the use of improved sets of molecular barcodes to provide improved capture-and-release immunoassays, such as those used in the NULISA technology;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two pending patent applications that are directed to improved multiplex detection of analytes across a large dynamic range of analyte concentrations in immunoassays,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three pending patent applications that are directed to methods of preparation of reagents for use in capture-and-release immunoassays,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use of immunoassays for biomarker detection in biological samples,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improved immunoassays with better accuracy,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preventing non-specific binding in capture-and-release immunoassays,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four pending patent applications that are directed to binder molecules with improved properties, such as those used in the Attobody platform;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one registered and two pending design patent application that are directed to pipette-accessible containers for automated capture-and-release immunoassays, such as those used in the ARGO HT system. </w:t>
            </w:r>
          </w:p>
        </w:tc>
      </w:tr>
    </w:tbl>
    <w:p>
      <w:pPr>
        <w:pStyle w:val="TextBody"/>
        <w:bidi w:val="0"/>
        <w:spacing w:before="160" w:after="0"/>
        <w:jc w:val="left"/>
        <w:rPr>
          <w:rFonts w:ascii="arial" w:hAnsi="arial"/>
          <w:sz w:val="20"/>
        </w:rPr>
      </w:pPr>
      <w:r>
        <w:rPr>
          <w:rFonts w:ascii="arial" w:hAnsi="arial"/>
          <w:sz w:val="20"/>
        </w:rPr>
        <w:t xml:space="preserve">The following table includes our U.S. and international granted patents and patent applications published as of December 31, 2025, along with the status in the U.S. and other jurisdictions. The estimated year of patent expiration is included for pending U.S. patent applications. </w:t>
      </w:r>
    </w:p>
    <w:p>
      <w:pPr>
        <w:pStyle w:val="TextBody"/>
        <w:bidi w:val="0"/>
        <w:spacing w:before="160" w:after="0"/>
        <w:jc w:val="left"/>
        <w:rPr>
          <w:rFonts w:ascii="arial" w:hAnsi="arial"/>
          <w:sz w:val="20"/>
        </w:rPr>
      </w:pPr>
      <w:r>
        <w:rPr>
          <w:rFonts w:ascii="arial" w:hAnsi="arial"/>
          <w:sz w:val="20"/>
        </w:rPr>
        <w:t xml:space="preserve">We have additional patent applications that have not yet published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
        <w:gridCol w:w="138"/>
        <w:gridCol w:w="680"/>
        <w:gridCol w:w="69"/>
        <w:gridCol w:w="2432"/>
        <w:gridCol w:w="69"/>
        <w:gridCol w:w="1622"/>
        <w:gridCol w:w="69"/>
        <w:gridCol w:w="1218"/>
        <w:gridCol w:w="69"/>
        <w:gridCol w:w="1646"/>
        <w:gridCol w:w="69"/>
        <w:gridCol w:w="1390"/>
      </w:tblGrid>
      <w:tr>
        <w:trPr/>
        <w:tc>
          <w:tcPr>
            <w:tcW w:w="73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34" w:type="dxa"/>
            <w:tcBorders>
              <w:top w:val="single" w:sz="16" w:space="0" w:color="000000"/>
            </w:tcBorders>
            <w:tcMar>
              <w:top w:w="28" w:type="dxa"/>
            </w:tcMar>
            <w:vAlign w:val="center"/>
          </w:tcPr>
          <w:p>
            <w:pPr>
              <w:pStyle w:val="TableContents"/>
              <w:bidi w:val="0"/>
              <w:spacing w:before="0" w:after="283"/>
              <w:jc w:val="left"/>
              <w:rPr/>
            </w:pPr>
            <w:r>
              <w:rPr/>
              <w:t> </w:t>
            </w:r>
          </w:p>
        </w:tc>
        <w:tc>
          <w:tcPr>
            <w:tcW w:w="818"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501"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691"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287"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71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459"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734" w:type="dxa"/>
            <w:tcBorders>
              <w:bottom w:val="single" w:sz="2" w:space="0" w:color="000000"/>
            </w:tcBorders>
            <w:tcMar>
              <w:bottom w:w="28" w:type="dxa"/>
            </w:tcMar>
            <w:vAlign w:val="bottom"/>
          </w:tcPr>
          <w:p>
            <w:pPr>
              <w:pStyle w:val="TableContents"/>
              <w:bidi w:val="0"/>
              <w:spacing w:before="0" w:after="283"/>
              <w:jc w:val="right"/>
              <w:rPr>
                <w:b/>
              </w:rPr>
            </w:pPr>
            <w:r>
              <w:rPr>
                <w:b/>
              </w:rPr>
              <w:t>Patent</w:t>
              <w:br/>
              <w:t>Family</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right"/>
              <w:rPr>
                <w:b/>
              </w:rPr>
            </w:pPr>
            <w:r>
              <w:rPr>
                <w:b/>
              </w:rPr>
              <w:t>Patent</w:t>
              <w:br/>
              <w:t>Type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432" w:type="dxa"/>
            <w:tcBorders>
              <w:bottom w:val="single" w:sz="2" w:space="0" w:color="000000"/>
            </w:tcBorders>
            <w:tcMar>
              <w:bottom w:w="28" w:type="dxa"/>
            </w:tcMar>
            <w:vAlign w:val="bottom"/>
          </w:tcPr>
          <w:p>
            <w:pPr>
              <w:pStyle w:val="TableContents"/>
              <w:bidi w:val="0"/>
              <w:spacing w:before="0" w:after="283"/>
              <w:jc w:val="right"/>
              <w:rPr>
                <w:b/>
              </w:rPr>
            </w:pPr>
            <w:r>
              <w:rPr>
                <w:b/>
              </w:rPr>
              <w:t>Patent Title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22" w:type="dxa"/>
            <w:tcBorders>
              <w:bottom w:val="single" w:sz="2" w:space="0" w:color="000000"/>
            </w:tcBorders>
            <w:tcMar>
              <w:bottom w:w="28" w:type="dxa"/>
            </w:tcMar>
            <w:vAlign w:val="bottom"/>
          </w:tcPr>
          <w:p>
            <w:pPr>
              <w:pStyle w:val="TableContents"/>
              <w:bidi w:val="0"/>
              <w:spacing w:before="0" w:after="283"/>
              <w:jc w:val="right"/>
              <w:rPr>
                <w:b/>
              </w:rPr>
            </w:pPr>
            <w:r>
              <w:rPr>
                <w:b/>
              </w:rPr>
              <w:t>Summary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8" w:type="dxa"/>
            <w:tcBorders>
              <w:bottom w:val="single" w:sz="2" w:space="0" w:color="000000"/>
            </w:tcBorders>
            <w:tcMar>
              <w:bottom w:w="28" w:type="dxa"/>
            </w:tcMar>
            <w:vAlign w:val="bottom"/>
          </w:tcPr>
          <w:p>
            <w:pPr>
              <w:pStyle w:val="TableContents"/>
              <w:bidi w:val="0"/>
              <w:spacing w:before="0" w:after="283"/>
              <w:jc w:val="right"/>
              <w:rPr>
                <w:b/>
              </w:rPr>
            </w:pPr>
            <w:r>
              <w:rPr>
                <w:b/>
              </w:rPr>
              <w:t>U.S. Patent</w:t>
              <w:br/>
              <w:t>Number</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46" w:type="dxa"/>
            <w:tcBorders>
              <w:bottom w:val="single" w:sz="2" w:space="0" w:color="000000"/>
            </w:tcBorders>
            <w:tcMar>
              <w:bottom w:w="28" w:type="dxa"/>
            </w:tcMar>
            <w:vAlign w:val="bottom"/>
          </w:tcPr>
          <w:p>
            <w:pPr>
              <w:pStyle w:val="TableContents"/>
              <w:bidi w:val="0"/>
              <w:spacing w:before="0" w:after="283"/>
              <w:jc w:val="right"/>
              <w:rPr>
                <w:b/>
              </w:rPr>
            </w:pPr>
            <w:r>
              <w:rPr>
                <w:b/>
              </w:rPr>
              <w:t>U.S. Expiration</w:t>
              <w:br/>
              <w:t>Date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2" w:space="0" w:color="000000"/>
            </w:tcBorders>
            <w:tcMar>
              <w:bottom w:w="28" w:type="dxa"/>
            </w:tcMar>
            <w:vAlign w:val="bottom"/>
          </w:tcPr>
          <w:p>
            <w:pPr>
              <w:pStyle w:val="TableContents"/>
              <w:bidi w:val="0"/>
              <w:spacing w:before="0" w:after="283"/>
              <w:jc w:val="right"/>
              <w:rPr>
                <w:b/>
              </w:rPr>
            </w:pPr>
            <w:r>
              <w:rPr>
                <w:b/>
              </w:rPr>
              <w:t>Jurisdictions</w:t>
            </w:r>
          </w:p>
        </w:tc>
      </w:tr>
      <w:tr>
        <w:trPr/>
        <w:tc>
          <w:tcPr>
            <w:tcW w:w="73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P01</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432" w:type="dxa"/>
            <w:tcBorders>
              <w:bottom w:val="single" w:sz="2" w:space="0" w:color="000000"/>
            </w:tcBorders>
            <w:tcMar>
              <w:bottom w:w="28" w:type="dxa"/>
            </w:tcMar>
          </w:tcPr>
          <w:p>
            <w:pPr>
              <w:pStyle w:val="TableContents"/>
              <w:bidi w:val="0"/>
              <w:spacing w:before="0" w:after="283"/>
              <w:jc w:val="left"/>
              <w:rPr/>
            </w:pPr>
            <w:r>
              <w:rPr/>
              <w:t>Nucleic acid linked immune-sandwich assay (NULISA)</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2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for detecting an analyte using a capture/release mechanism to reduce non-specific binding and achieve detection with attomolar-level sensitivity.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 and ARGO HT instruments.</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8"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12,105,084</w:t>
            </w:r>
          </w:p>
          <w:p>
            <w:pPr>
              <w:pStyle w:val="TableContents"/>
              <w:bidi w:val="0"/>
              <w:spacing w:before="0" w:after="20"/>
              <w:jc w:val="left"/>
              <w:rPr>
                <w:rFonts w:ascii="arial" w:hAnsi="arial"/>
                <w:sz w:val="20"/>
              </w:rPr>
            </w:pPr>
            <w:r>
              <w:rPr>
                <w:rFonts w:ascii="arial" w:hAnsi="arial"/>
                <w:sz w:val="20"/>
              </w:rPr>
              <w:t>12,188,929</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46"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12-02-2040</w:t>
            </w:r>
          </w:p>
          <w:p>
            <w:pPr>
              <w:pStyle w:val="TableContents"/>
              <w:bidi w:val="0"/>
              <w:spacing w:before="0" w:after="20"/>
              <w:jc w:val="left"/>
              <w:rPr>
                <w:rFonts w:ascii="arial" w:hAnsi="arial"/>
                <w:sz w:val="20"/>
              </w:rPr>
            </w:pPr>
            <w:r>
              <w:rPr>
                <w:rFonts w:ascii="arial" w:hAnsi="arial"/>
                <w:sz w:val="20"/>
              </w:rPr>
              <w:t>12-02-2040</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Issued:</w:t>
            </w:r>
          </w:p>
          <w:p>
            <w:pPr>
              <w:pStyle w:val="TableContents"/>
              <w:bidi w:val="0"/>
              <w:spacing w:before="0" w:after="0"/>
              <w:jc w:val="left"/>
              <w:rPr>
                <w:rFonts w:ascii="arial" w:hAnsi="arial"/>
                <w:sz w:val="20"/>
              </w:rPr>
            </w:pPr>
            <w:r>
              <w:rPr>
                <w:rFonts w:ascii="arial" w:hAnsi="arial"/>
                <w:sz w:val="20"/>
              </w:rPr>
              <w:t>Japan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 European Union, China</w:t>
            </w:r>
          </w:p>
        </w:tc>
      </w:tr>
      <w:tr>
        <w:trPr/>
        <w:tc>
          <w:tcPr>
            <w:tcW w:w="73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P02</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432" w:type="dxa"/>
            <w:tcBorders>
              <w:bottom w:val="single" w:sz="2" w:space="0" w:color="000000"/>
            </w:tcBorders>
            <w:tcMar>
              <w:bottom w:w="28" w:type="dxa"/>
            </w:tcMar>
          </w:tcPr>
          <w:p>
            <w:pPr>
              <w:pStyle w:val="TableContents"/>
              <w:bidi w:val="0"/>
              <w:spacing w:before="0" w:after="283"/>
              <w:jc w:val="left"/>
              <w:rPr/>
            </w:pPr>
            <w:r>
              <w:rPr/>
              <w:t>Nucleic acid linked immune-sandwich assay (NULISA)</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2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for detecting an analyte using a capture/release mechanism to reduce non-specific binding and achieve detection with attomolar-level sensitivity.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 and ARGO HT instruments.</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8" w:type="dxa"/>
            <w:tcBorders>
              <w:bottom w:val="single" w:sz="2" w:space="0" w:color="000000"/>
            </w:tcBorders>
            <w:tcMar>
              <w:bottom w:w="28" w:type="dxa"/>
            </w:tcMar>
          </w:tcPr>
          <w:p>
            <w:pPr>
              <w:pStyle w:val="TableContents"/>
              <w:bidi w:val="0"/>
              <w:spacing w:before="0" w:after="283"/>
              <w:jc w:val="left"/>
              <w:rPr/>
            </w:pPr>
            <w:r>
              <w:rPr/>
              <w:t>Pending</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46" w:type="dxa"/>
            <w:tcBorders>
              <w:bottom w:val="single" w:sz="2" w:space="0" w:color="000000"/>
            </w:tcBorders>
            <w:tcMar>
              <w:bottom w:w="28" w:type="dxa"/>
            </w:tcMar>
          </w:tcPr>
          <w:p>
            <w:pPr>
              <w:pStyle w:val="TableContents"/>
              <w:bidi w:val="0"/>
              <w:spacing w:before="0" w:after="283"/>
              <w:jc w:val="left"/>
              <w:rPr/>
            </w:pPr>
            <w:r>
              <w:rPr/>
              <w:t>Expected 2040</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50"/>
        <w:gridCol w:w="164"/>
        <w:gridCol w:w="680"/>
        <w:gridCol w:w="82"/>
        <w:gridCol w:w="1611"/>
        <w:gridCol w:w="82"/>
        <w:gridCol w:w="2107"/>
        <w:gridCol w:w="82"/>
        <w:gridCol w:w="1283"/>
        <w:gridCol w:w="82"/>
        <w:gridCol w:w="1698"/>
        <w:gridCol w:w="82"/>
        <w:gridCol w:w="1502"/>
      </w:tblGrid>
      <w:tr>
        <w:trPr/>
        <w:tc>
          <w:tcPr>
            <w:tcW w:w="75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50" w:type="dxa"/>
            <w:tcBorders>
              <w:top w:val="single" w:sz="16" w:space="0" w:color="000000"/>
            </w:tcBorders>
            <w:tcMar>
              <w:top w:w="28" w:type="dxa"/>
            </w:tcMar>
            <w:vAlign w:val="center"/>
          </w:tcPr>
          <w:p>
            <w:pPr>
              <w:pStyle w:val="TableContents"/>
              <w:bidi w:val="0"/>
              <w:spacing w:before="0" w:after="283"/>
              <w:jc w:val="left"/>
              <w:rPr/>
            </w:pPr>
            <w:r>
              <w:rPr/>
              <w:t> </w:t>
            </w:r>
          </w:p>
        </w:tc>
        <w:tc>
          <w:tcPr>
            <w:tcW w:w="844"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693"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18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36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780"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584"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750" w:type="dxa"/>
            <w:tcBorders>
              <w:bottom w:val="single" w:sz="2" w:space="0" w:color="000000"/>
            </w:tcBorders>
            <w:tcMar>
              <w:bottom w:w="28" w:type="dxa"/>
            </w:tcMar>
            <w:vAlign w:val="bottom"/>
          </w:tcPr>
          <w:p>
            <w:pPr>
              <w:pStyle w:val="TableContents"/>
              <w:bidi w:val="0"/>
              <w:spacing w:before="0" w:after="283"/>
              <w:jc w:val="right"/>
              <w:rPr>
                <w:b/>
              </w:rPr>
            </w:pPr>
            <w:r>
              <w:rPr>
                <w:b/>
              </w:rPr>
              <w:t>Patent</w:t>
              <w:br/>
              <w:t>Family</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right"/>
              <w:rPr>
                <w:b/>
              </w:rPr>
            </w:pPr>
            <w:r>
              <w:rPr>
                <w:b/>
              </w:rPr>
              <w:t>Patent</w:t>
              <w:br/>
              <w:t>Type</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vAlign w:val="bottom"/>
          </w:tcPr>
          <w:p>
            <w:pPr>
              <w:pStyle w:val="TableContents"/>
              <w:bidi w:val="0"/>
              <w:spacing w:before="0" w:after="283"/>
              <w:jc w:val="right"/>
              <w:rPr>
                <w:b/>
              </w:rPr>
            </w:pPr>
            <w:r>
              <w:rPr>
                <w:b/>
              </w:rPr>
              <w:t>Patent Title</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vAlign w:val="bottom"/>
          </w:tcPr>
          <w:p>
            <w:pPr>
              <w:pStyle w:val="TableContents"/>
              <w:bidi w:val="0"/>
              <w:spacing w:before="0" w:after="283"/>
              <w:jc w:val="right"/>
              <w:rPr>
                <w:b/>
              </w:rPr>
            </w:pPr>
            <w:r>
              <w:rPr>
                <w:b/>
              </w:rPr>
              <w:t>Summary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vAlign w:val="bottom"/>
          </w:tcPr>
          <w:p>
            <w:pPr>
              <w:pStyle w:val="TableContents"/>
              <w:bidi w:val="0"/>
              <w:spacing w:before="0" w:after="283"/>
              <w:jc w:val="right"/>
              <w:rPr>
                <w:b/>
              </w:rPr>
            </w:pPr>
            <w:r>
              <w:rPr>
                <w:b/>
              </w:rPr>
              <w:t>U.S. Patent</w:t>
              <w:br/>
              <w:t>Number</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vAlign w:val="bottom"/>
          </w:tcPr>
          <w:p>
            <w:pPr>
              <w:pStyle w:val="TableContents"/>
              <w:bidi w:val="0"/>
              <w:spacing w:before="0" w:after="283"/>
              <w:jc w:val="right"/>
              <w:rPr>
                <w:b/>
              </w:rPr>
            </w:pPr>
            <w:r>
              <w:rPr>
                <w:b/>
              </w:rPr>
              <w:t>U.S. Expiration</w:t>
              <w:br/>
              <w:t>Date</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vAlign w:val="bottom"/>
          </w:tcPr>
          <w:p>
            <w:pPr>
              <w:pStyle w:val="TableContents"/>
              <w:bidi w:val="0"/>
              <w:spacing w:before="0" w:after="283"/>
              <w:jc w:val="right"/>
              <w:rPr>
                <w:b/>
              </w:rPr>
            </w:pPr>
            <w:r>
              <w:rPr>
                <w:b/>
              </w:rPr>
              <w:t>Jurisdictions</w:t>
            </w:r>
          </w:p>
        </w:tc>
      </w:tr>
      <w:tr>
        <w:trPr/>
        <w:tc>
          <w:tcPr>
            <w:tcW w:w="7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P03</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tcPr>
          <w:p>
            <w:pPr>
              <w:pStyle w:val="TableContents"/>
              <w:bidi w:val="0"/>
              <w:spacing w:before="0" w:after="283"/>
              <w:jc w:val="left"/>
              <w:rPr/>
            </w:pPr>
            <w:r>
              <w:rPr/>
              <w:t>Molecular barcode set and use thereof in multiplex proximity detection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that provide improved multiplex detection of analytes across a large dynamic range of analyte concentrations through the use of improved sets of molecular barcodes.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tcPr>
          <w:p>
            <w:pPr>
              <w:pStyle w:val="TableContents"/>
              <w:bidi w:val="0"/>
              <w:spacing w:before="0" w:after="283"/>
              <w:jc w:val="left"/>
              <w:rPr/>
            </w:pPr>
            <w:r>
              <w:rPr/>
              <w:t>Pending</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tcPr>
          <w:p>
            <w:pPr>
              <w:pStyle w:val="TableContents"/>
              <w:bidi w:val="0"/>
              <w:spacing w:before="0" w:after="283"/>
              <w:jc w:val="left"/>
              <w:rPr/>
            </w:pPr>
            <w:r>
              <w:rPr/>
              <w:t>Expected 2044</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Patent Cooperation Treaty</w:t>
            </w:r>
          </w:p>
        </w:tc>
      </w:tr>
      <w:tr>
        <w:trPr/>
        <w:tc>
          <w:tcPr>
            <w:tcW w:w="7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P04</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tcPr>
          <w:p>
            <w:pPr>
              <w:pStyle w:val="TableContents"/>
              <w:bidi w:val="0"/>
              <w:spacing w:before="0" w:after="283"/>
              <w:jc w:val="left"/>
              <w:rPr/>
            </w:pPr>
            <w:r>
              <w:rPr/>
              <w:t>Use of autoinhibition standard curves in proximity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that provide improved multiplex detection of analytes across a large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dynamic range of analyte concentrations by using multiple standard curves for determining the concentration of analytes.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tcPr>
          <w:p>
            <w:pPr>
              <w:pStyle w:val="TableContents"/>
              <w:bidi w:val="0"/>
              <w:spacing w:before="0" w:after="283"/>
              <w:jc w:val="left"/>
              <w:rPr/>
            </w:pPr>
            <w:r>
              <w:rPr/>
              <w:t>Pending</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tcPr>
          <w:p>
            <w:pPr>
              <w:pStyle w:val="TableContents"/>
              <w:bidi w:val="0"/>
              <w:spacing w:before="0" w:after="283"/>
              <w:jc w:val="left"/>
              <w:rPr/>
            </w:pPr>
            <w:r>
              <w:rPr/>
              <w:t>Expected 2044</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Patent Cooperation Treaty</w:t>
            </w:r>
          </w:p>
        </w:tc>
      </w:tr>
      <w:tr>
        <w:trPr/>
        <w:tc>
          <w:tcPr>
            <w:tcW w:w="7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P05</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tcPr>
          <w:p>
            <w:pPr>
              <w:pStyle w:val="TableContents"/>
              <w:bidi w:val="0"/>
              <w:spacing w:before="0" w:after="283"/>
              <w:jc w:val="left"/>
              <w:rPr/>
            </w:pPr>
            <w:r>
              <w:rPr/>
              <w:t>Reduction of non-cognate signal in multiplex proximity ligation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that provide improved multiplex detection of analytes across a large dynamic range of analyte concentrations by using a plurality of different ligation sites in a multiplexed proximity ligation assay.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tcPr>
          <w:p>
            <w:pPr>
              <w:pStyle w:val="TableContents"/>
              <w:bidi w:val="0"/>
              <w:spacing w:before="0" w:after="283"/>
              <w:jc w:val="left"/>
              <w:rPr/>
            </w:pPr>
            <w:r>
              <w:rPr/>
              <w:t>Pending</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tcPr>
          <w:p>
            <w:pPr>
              <w:pStyle w:val="TableContents"/>
              <w:bidi w:val="0"/>
              <w:spacing w:before="0" w:after="283"/>
              <w:jc w:val="left"/>
              <w:rPr/>
            </w:pPr>
            <w:r>
              <w:rPr/>
              <w:t>Expected 2044</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Patent Cooperation Treaty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49"/>
        <w:gridCol w:w="157"/>
        <w:gridCol w:w="696"/>
        <w:gridCol w:w="78"/>
        <w:gridCol w:w="1431"/>
        <w:gridCol w:w="78"/>
        <w:gridCol w:w="2339"/>
        <w:gridCol w:w="78"/>
        <w:gridCol w:w="1271"/>
        <w:gridCol w:w="78"/>
        <w:gridCol w:w="1691"/>
        <w:gridCol w:w="78"/>
        <w:gridCol w:w="1481"/>
      </w:tblGrid>
      <w:tr>
        <w:trPr/>
        <w:tc>
          <w:tcPr>
            <w:tcW w:w="749"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9" w:type="dxa"/>
            <w:tcBorders>
              <w:top w:val="single" w:sz="16" w:space="0" w:color="000000"/>
            </w:tcBorders>
            <w:tcMar>
              <w:top w:w="28" w:type="dxa"/>
            </w:tcMar>
            <w:vAlign w:val="center"/>
          </w:tcPr>
          <w:p>
            <w:pPr>
              <w:pStyle w:val="TableContents"/>
              <w:bidi w:val="0"/>
              <w:spacing w:before="0" w:after="283"/>
              <w:jc w:val="left"/>
              <w:rPr/>
            </w:pPr>
            <w:r>
              <w:rPr/>
              <w:t> </w:t>
            </w:r>
          </w:p>
        </w:tc>
        <w:tc>
          <w:tcPr>
            <w:tcW w:w="853"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50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417"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34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76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559"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749" w:type="dxa"/>
            <w:tcBorders>
              <w:bottom w:val="single" w:sz="2" w:space="0" w:color="000000"/>
            </w:tcBorders>
            <w:tcMar>
              <w:bottom w:w="28" w:type="dxa"/>
            </w:tcMar>
            <w:vAlign w:val="bottom"/>
          </w:tcPr>
          <w:p>
            <w:pPr>
              <w:pStyle w:val="TableContents"/>
              <w:bidi w:val="0"/>
              <w:spacing w:before="0" w:after="283"/>
              <w:jc w:val="right"/>
              <w:rPr>
                <w:b/>
              </w:rPr>
            </w:pPr>
            <w:r>
              <w:rPr>
                <w:b/>
              </w:rPr>
              <w:t>Patent</w:t>
              <w:br/>
              <w:t>Family</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vAlign w:val="bottom"/>
          </w:tcPr>
          <w:p>
            <w:pPr>
              <w:pStyle w:val="TableContents"/>
              <w:bidi w:val="0"/>
              <w:spacing w:before="0" w:after="283"/>
              <w:jc w:val="right"/>
              <w:rPr>
                <w:b/>
              </w:rPr>
            </w:pPr>
            <w:r>
              <w:rPr>
                <w:b/>
              </w:rPr>
              <w:t>Patent</w:t>
              <w:br/>
              <w:t>Type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vAlign w:val="bottom"/>
          </w:tcPr>
          <w:p>
            <w:pPr>
              <w:pStyle w:val="TableContents"/>
              <w:bidi w:val="0"/>
              <w:spacing w:before="0" w:after="283"/>
              <w:jc w:val="right"/>
              <w:rPr>
                <w:b/>
              </w:rPr>
            </w:pPr>
            <w:r>
              <w:rPr>
                <w:b/>
              </w:rPr>
              <w:t>Patent Title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vAlign w:val="bottom"/>
          </w:tcPr>
          <w:p>
            <w:pPr>
              <w:pStyle w:val="TableContents"/>
              <w:bidi w:val="0"/>
              <w:spacing w:before="0" w:after="283"/>
              <w:jc w:val="right"/>
              <w:rPr>
                <w:b/>
              </w:rPr>
            </w:pPr>
            <w:r>
              <w:rPr>
                <w:b/>
              </w:rPr>
              <w:t>Summary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vAlign w:val="bottom"/>
          </w:tcPr>
          <w:p>
            <w:pPr>
              <w:pStyle w:val="TableContents"/>
              <w:bidi w:val="0"/>
              <w:spacing w:before="0" w:after="283"/>
              <w:jc w:val="right"/>
              <w:rPr>
                <w:b/>
              </w:rPr>
            </w:pPr>
            <w:r>
              <w:rPr>
                <w:b/>
              </w:rPr>
              <w:t>U.S. Patent</w:t>
              <w:br/>
              <w:t>Number</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vAlign w:val="bottom"/>
          </w:tcPr>
          <w:p>
            <w:pPr>
              <w:pStyle w:val="TableContents"/>
              <w:bidi w:val="0"/>
              <w:spacing w:before="0" w:after="283"/>
              <w:jc w:val="right"/>
              <w:rPr>
                <w:b/>
              </w:rPr>
            </w:pPr>
            <w:r>
              <w:rPr>
                <w:b/>
              </w:rPr>
              <w:t>U.S. Expiration</w:t>
              <w:br/>
              <w:t>Date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vAlign w:val="bottom"/>
          </w:tcPr>
          <w:p>
            <w:pPr>
              <w:pStyle w:val="TableContents"/>
              <w:bidi w:val="0"/>
              <w:spacing w:before="0" w:after="283"/>
              <w:jc w:val="right"/>
              <w:rPr>
                <w:b/>
              </w:rPr>
            </w:pPr>
            <w:r>
              <w:rPr>
                <w:b/>
              </w:rPr>
              <w:t>Jurisdictions</w:t>
            </w:r>
          </w:p>
        </w:tc>
      </w:tr>
      <w:tr>
        <w:trPr/>
        <w:tc>
          <w:tcPr>
            <w:tcW w:w="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P06</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tcPr>
          <w:p>
            <w:pPr>
              <w:pStyle w:val="TableContents"/>
              <w:bidi w:val="0"/>
              <w:spacing w:before="0" w:after="283"/>
              <w:jc w:val="right"/>
              <w:rPr/>
            </w:pPr>
            <w:r>
              <w:rPr/>
              <w:t>Utility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tcPr>
          <w:p>
            <w:pPr>
              <w:pStyle w:val="TableContents"/>
              <w:bidi w:val="0"/>
              <w:spacing w:before="0" w:after="283"/>
              <w:jc w:val="left"/>
              <w:rPr/>
            </w:pPr>
            <w:r>
              <w:rPr/>
              <w:t>Fully automatic instrument system for biochemical assays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Instrument systems for executing automated sequential capture-and-release NULISAseq and NULISAqpcr assays.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ARGO HT instruments.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tcPr>
          <w:p>
            <w:pPr>
              <w:pStyle w:val="TableContents"/>
              <w:bidi w:val="0"/>
              <w:spacing w:before="0" w:after="283"/>
              <w:jc w:val="left"/>
              <w:rPr/>
            </w:pPr>
            <w:r>
              <w:rPr/>
              <w:t>Pending</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tcPr>
          <w:p>
            <w:pPr>
              <w:pStyle w:val="TableContents"/>
              <w:bidi w:val="0"/>
              <w:spacing w:before="0" w:after="283"/>
              <w:jc w:val="left"/>
              <w:rPr/>
            </w:pPr>
            <w:r>
              <w:rPr/>
              <w:t>Expected 2044</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 Patent Cooperation Treaty, European Union, Japan</w:t>
            </w:r>
          </w:p>
        </w:tc>
      </w:tr>
      <w:tr>
        <w:trPr/>
        <w:tc>
          <w:tcPr>
            <w:tcW w:w="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P07</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tcPr>
          <w:p>
            <w:pPr>
              <w:pStyle w:val="TableContents"/>
              <w:bidi w:val="0"/>
              <w:spacing w:before="0" w:after="283"/>
              <w:jc w:val="right"/>
              <w:rPr/>
            </w:pPr>
            <w:r>
              <w:rPr/>
              <w:t>Utility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tcPr>
          <w:p>
            <w:pPr>
              <w:pStyle w:val="TableContents"/>
              <w:bidi w:val="0"/>
              <w:spacing w:before="0" w:after="283"/>
              <w:jc w:val="left"/>
              <w:rPr/>
            </w:pPr>
            <w:r>
              <w:rPr/>
              <w:t>Binder molecules with high affinity and/ or specificity and methods of making and use thereof</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Antibody reagents which are co-binders comprising a first binding moiety specifically recognizing a first target site and a second binding moiety specifically recognizing a second target site.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tcPr>
          <w:p>
            <w:pPr>
              <w:pStyle w:val="TableContents"/>
              <w:bidi w:val="0"/>
              <w:spacing w:before="0" w:after="283"/>
              <w:jc w:val="left"/>
              <w:rPr/>
            </w:pPr>
            <w:r>
              <w:rPr/>
              <w:t>Pending</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tcPr>
          <w:p>
            <w:pPr>
              <w:pStyle w:val="TableContents"/>
              <w:bidi w:val="0"/>
              <w:spacing w:before="0" w:after="283"/>
              <w:jc w:val="left"/>
              <w:rPr/>
            </w:pPr>
            <w:r>
              <w:rPr/>
              <w:t>Expected 2041</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 European Union, China, Japan</w:t>
            </w:r>
          </w:p>
        </w:tc>
      </w:tr>
      <w:tr>
        <w:trPr/>
        <w:tc>
          <w:tcPr>
            <w:tcW w:w="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P08</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tcPr>
          <w:p>
            <w:pPr>
              <w:pStyle w:val="TableContents"/>
              <w:bidi w:val="0"/>
              <w:spacing w:before="0" w:after="283"/>
              <w:jc w:val="right"/>
              <w:rPr/>
            </w:pPr>
            <w:r>
              <w:rPr/>
              <w:t>Design</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tcPr>
          <w:p>
            <w:pPr>
              <w:pStyle w:val="TableContents"/>
              <w:bidi w:val="0"/>
              <w:spacing w:before="0" w:after="283"/>
              <w:jc w:val="left"/>
              <w:rPr/>
            </w:pPr>
            <w:r>
              <w:rPr/>
              <w:t>Container(s), container(s) holder/carrier and components thereof for biochemical assays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Designs for consumable reagent holders and carriers used in the ARGO HT system.</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ARGO HT instruments.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tcPr>
          <w:p>
            <w:pPr>
              <w:pStyle w:val="TableContents"/>
              <w:bidi w:val="0"/>
              <w:spacing w:before="0" w:after="283"/>
              <w:jc w:val="left"/>
              <w:rPr/>
            </w:pPr>
            <w:r>
              <w:rPr/>
              <w:t>Pending</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tcPr>
          <w:p>
            <w:pPr>
              <w:pStyle w:val="TableContents"/>
              <w:bidi w:val="0"/>
              <w:spacing w:before="0" w:after="283"/>
              <w:jc w:val="left"/>
              <w:rPr/>
            </w:pPr>
            <w:r>
              <w:rPr/>
              <w:t>Expected 2039</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Registered: European Union</w:t>
            </w:r>
          </w:p>
          <w:p>
            <w:pPr>
              <w:pStyle w:val="TableContents"/>
              <w:bidi w:val="0"/>
              <w:spacing w:before="0" w:after="20"/>
              <w:jc w:val="left"/>
              <w:rPr>
                <w:rFonts w:ascii="arial" w:hAnsi="arial"/>
                <w:sz w:val="20"/>
              </w:rPr>
            </w:pPr>
            <w:r>
              <w:rPr>
                <w:rFonts w:ascii="arial" w:hAnsi="arial"/>
                <w:sz w:val="20"/>
              </w:rPr>
              <w:t>Pending: United States, China</w:t>
            </w:r>
          </w:p>
        </w:tc>
      </w:tr>
    </w:tbl>
    <w:p>
      <w:pPr>
        <w:pStyle w:val="TextBody"/>
        <w:bidi w:val="0"/>
        <w:spacing w:before="160" w:after="0"/>
        <w:jc w:val="left"/>
        <w:rPr>
          <w:rFonts w:ascii="arial" w:hAnsi="arial"/>
          <w:sz w:val="20"/>
        </w:rPr>
      </w:pPr>
      <w:r>
        <w:rPr>
          <w:rFonts w:ascii="arial" w:hAnsi="arial"/>
          <w:sz w:val="20"/>
        </w:rPr>
        <w:t xml:space="preserve">The term of individual patents in our portfolio depends upon the legal term of patents in the countries in which they are obtained. In most countries in which we file, including the United States, the patent term of a utility patent is 20 years from the earliest date of filing a non-provisional patent application. In the United States, the term of a patent may be reduced due to a terminal disclaimer made to overcome a double patenting rejection, or may be lengthened by patent term adjustment, which permits patent term restoration as compensation for delays incurred at the USPTO during the patent prosecution process. </w:t>
      </w:r>
    </w:p>
    <w:p>
      <w:pPr>
        <w:pStyle w:val="TextBody"/>
        <w:bidi w:val="0"/>
        <w:spacing w:before="160" w:after="0"/>
        <w:jc w:val="left"/>
        <w:rPr>
          <w:rFonts w:ascii="arial" w:hAnsi="arial"/>
          <w:sz w:val="20"/>
        </w:rPr>
      </w:pPr>
      <w:r>
        <w:rPr>
          <w:rFonts w:ascii="arial" w:hAnsi="arial"/>
          <w:sz w:val="20"/>
        </w:rPr>
        <w:t xml:space="preserve">We intend to pursue additional intellectual property protection to the extent we believe it would be beneficial and cost-effective. The patent positions of companies like ours are generally uncertain and involve complex legal and factual questions. The relevant patent laws and their interpretation inside and outside of the United States is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products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technology from infringement or prevent others from commercializing infringing products or technology. Even if our pending patent applications are granted as issued patents, those patents may be challenged, circumvented or invalidated by third parties. Moreover, issued patents do not guarantee the right to practice our technology in relation to the commercialization of our products. Issued patents only allow us to block potential competitors from practicing the claimed inventions of the issued patents in the countries in which such patents are issued. Consequently, we may not obtain or maintain adequate patent protection for any of our products or technologies. </w:t>
      </w:r>
    </w:p>
    <w:p>
      <w:pPr>
        <w:pStyle w:val="TextBody"/>
        <w:bidi w:val="0"/>
        <w:spacing w:before="160" w:after="0"/>
        <w:jc w:val="left"/>
        <w:rPr>
          <w:rFonts w:ascii="arial" w:hAnsi="arial"/>
          <w:sz w:val="20"/>
        </w:rPr>
      </w:pPr>
      <w:r>
        <w:rPr>
          <w:rFonts w:ascii="arial" w:hAnsi="arial"/>
          <w:sz w:val="20"/>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w:t>
      </w:r>
    </w:p>
    <w:p>
      <w:pPr>
        <w:pStyle w:val="TextBody"/>
        <w:bidi w:val="0"/>
        <w:spacing w:before="160" w:after="0"/>
        <w:jc w:val="left"/>
        <w:rPr>
          <w:rFonts w:ascii="arial" w:hAnsi="arial"/>
          <w:sz w:val="20"/>
        </w:rPr>
      </w:pPr>
      <w:r>
        <w:rPr>
          <w:rFonts w:ascii="arial" w:hAnsi="arial"/>
          <w:sz w:val="20"/>
        </w:rPr>
        <w:t xml:space="preserve">We also own trademarks to protect and retain exclusivity over our brand names. We own pending US federal trademark applications for </w:t>
      </w:r>
      <w:r>
        <w:rPr>
          <w:rFonts w:ascii="arial" w:hAnsi="arial"/>
          <w:sz w:val="20"/>
        </w:rPr>
        <w:drawing>
          <wp:inline distT="0" distB="0" distL="0" distR="0">
            <wp:extent cx="641350" cy="190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41350" cy="190500"/>
                    </a:xfrm>
                    <a:prstGeom prst="rect">
                      <a:avLst/>
                    </a:prstGeom>
                  </pic:spPr>
                </pic:pic>
              </a:graphicData>
            </a:graphic>
          </wp:inline>
        </w:drawing>
      </w:r>
      <w:r>
        <w:rPr>
          <w:rFonts w:ascii="arial" w:hAnsi="arial"/>
          <w:sz w:val="20"/>
        </w:rPr>
        <w:t xml:space="preserve"> , ARGO, NULISA, NULISASEQ, and FLEXPLEX. Through use in commerce, we also own US common law trademark rights in at least the marks ALAMAR BIOSCIENCES, </w:t>
      </w:r>
      <w:r>
        <w:rPr>
          <w:rFonts w:ascii="arial" w:hAnsi="arial"/>
          <w:sz w:val="20"/>
        </w:rPr>
        <w:drawing>
          <wp:inline distT="0" distB="0" distL="0" distR="0">
            <wp:extent cx="641350" cy="190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41350" cy="190500"/>
                    </a:xfrm>
                    <a:prstGeom prst="rect">
                      <a:avLst/>
                    </a:prstGeom>
                  </pic:spPr>
                </pic:pic>
              </a:graphicData>
            </a:graphic>
          </wp:inline>
        </w:drawing>
      </w:r>
      <w:r>
        <w:rPr>
          <w:rFonts w:ascii="arial" w:hAnsi="arial"/>
          <w:sz w:val="20"/>
        </w:rPr>
        <w:t xml:space="preserve"> , and ARGO. </w:t>
      </w:r>
    </w:p>
    <w:p>
      <w:pPr>
        <w:pStyle w:val="TextBody"/>
        <w:bidi w:val="0"/>
        <w:spacing w:before="160" w:after="0"/>
        <w:jc w:val="left"/>
        <w:rPr>
          <w:rFonts w:ascii="arial" w:hAnsi="arial"/>
          <w:sz w:val="20"/>
        </w:rPr>
      </w:pPr>
      <w:r>
        <w:rPr>
          <w:rFonts w:ascii="arial" w:hAnsi="arial"/>
          <w:sz w:val="20"/>
        </w:rPr>
        <w:t xml:space="preserve">We may also rely on regulatory and other protections afforded through data and marketing exclusivities, where available. For further discussion of the risks relating to intellectual property, see the section titled “Risk factors—Risks related to our intellectual property, information technology and data security.” </w:t>
      </w:r>
    </w:p>
    <w:p>
      <w:pPr>
        <w:pStyle w:val="TextBody"/>
        <w:bidi w:val="0"/>
        <w:spacing w:before="320" w:after="0"/>
        <w:jc w:val="left"/>
        <w:rPr>
          <w:rFonts w:ascii="arial" w:hAnsi="arial"/>
          <w:b/>
          <w:sz w:val="24"/>
        </w:rPr>
      </w:pPr>
      <w:r>
        <w:rPr>
          <w:rFonts w:ascii="arial" w:hAnsi="arial"/>
          <w:b/>
          <w:sz w:val="24"/>
        </w:rPr>
        <w:t xml:space="preserve">Employees and human capital resources </w:t>
      </w:r>
    </w:p>
    <w:p>
      <w:pPr>
        <w:pStyle w:val="TextBody"/>
        <w:bidi w:val="0"/>
        <w:spacing w:before="160" w:after="0"/>
        <w:jc w:val="left"/>
        <w:rPr>
          <w:rFonts w:ascii="arial" w:hAnsi="arial"/>
          <w:sz w:val="20"/>
        </w:rPr>
      </w:pPr>
      <w:r>
        <w:rPr>
          <w:rFonts w:ascii="arial" w:hAnsi="arial"/>
          <w:sz w:val="20"/>
        </w:rPr>
        <w:t xml:space="preserve">As of December 31, 2025, we had 222 employees, including 99 in research and development, 59 in sales, marketing, support and customer success, 23 in general and administrative and 41 in operations and manufacturing. None of our U.S. employees are represented by a labor union or covered under a collective bargaining agreement, and we consider our relationship with our employees to be positive. As of December 31, 2025, 176 of our employees were employed in the United States and 46 were employed outside the United States. </w:t>
      </w:r>
    </w:p>
    <w:p>
      <w:pPr>
        <w:pStyle w:val="TextBody"/>
        <w:bidi w:val="0"/>
        <w:spacing w:before="160" w:after="0"/>
        <w:jc w:val="left"/>
        <w:rPr>
          <w:rFonts w:ascii="arial" w:hAnsi="arial"/>
          <w:sz w:val="20"/>
        </w:rPr>
      </w:pPr>
      <w:r>
        <w:rPr>
          <w:rFonts w:ascii="arial" w:hAnsi="arial"/>
          <w:sz w:val="20"/>
        </w:rPr>
        <w:t xml:space="preserve">We recognize that our culture is central to the productivity, agility, scalability and competitiveness of our operation, and is essential to our success. We are clear and consistent in our company values and we communicate and support an employee value proposition. Our proposition is centered with unique and impactful professional development opportunities within an environment of inclusive representation and diverse thinking as a unifying force and business differentiator. Our employees are critical to our long-term success and are essential to helping us meet our goals. Among other things, we support and incentivize our employees in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Talent development, compensation and retention: Our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Health and safety: We support the health and safety of our employees by providing comprehensive insurance benefits, an employee assistance program, company-paid holidays, a personal time-off program and other additional benefits which are intended to assist employees to manage their well-being. </w:t>
            </w:r>
          </w:p>
        </w:tc>
      </w:tr>
    </w:tbl>
    <w:p>
      <w:pPr>
        <w:pStyle w:val="TextBody"/>
        <w:bidi w:val="0"/>
        <w:spacing w:before="160" w:after="0"/>
        <w:jc w:val="left"/>
        <w:rPr>
          <w:rFonts w:ascii="arial" w:hAnsi="arial"/>
          <w:sz w:val="20"/>
        </w:rPr>
      </w:pPr>
      <w:r>
        <w:rPr>
          <w:rFonts w:ascii="arial" w:hAnsi="arial"/>
          <w:sz w:val="20"/>
        </w:rPr>
        <w:t xml:space="preserve">We believe that our engagement score of 86, which is in the top 10% of small biotechnology companies, demonstrates that our employees value working here because of the high caliber of our leadership and management, their ability to be involved and drive outcomes for our company and our programs that allow connectivity to other employees as well as professional growth. </w:t>
      </w:r>
    </w:p>
    <w:p>
      <w:pPr>
        <w:pStyle w:val="TextBody"/>
        <w:bidi w:val="0"/>
        <w:spacing w:before="320" w:after="0"/>
        <w:jc w:val="left"/>
        <w:rPr>
          <w:rFonts w:ascii="arial" w:hAnsi="arial"/>
          <w:b/>
          <w:sz w:val="24"/>
        </w:rPr>
      </w:pPr>
      <w:r>
        <w:rPr>
          <w:rFonts w:ascii="arial" w:hAnsi="arial"/>
          <w:b/>
          <w:sz w:val="24"/>
        </w:rPr>
        <w:t xml:space="preserve">Facilities </w:t>
      </w:r>
    </w:p>
    <w:p>
      <w:pPr>
        <w:pStyle w:val="TextBody"/>
        <w:bidi w:val="0"/>
        <w:spacing w:before="160" w:after="0"/>
        <w:jc w:val="left"/>
        <w:rPr>
          <w:rFonts w:ascii="arial" w:hAnsi="arial"/>
          <w:sz w:val="20"/>
        </w:rPr>
      </w:pPr>
      <w:r>
        <w:rPr>
          <w:rFonts w:ascii="arial" w:hAnsi="arial"/>
          <w:sz w:val="20"/>
        </w:rPr>
        <w:t xml:space="preserve">We currently lease approximately 88,508 square feet of office space for our corporate headquarters located in Fremont, California under a lease agreement that terminates on January 31, 2034. This facility supports research, development, production and distribution operations, including manufacturing and quality control. In addition, we lease approximately 65,069 square feet of additional manufacturing space in Fremont, California under a lease agreement that terminates in 2039. We also lease approximately 1,560 square feet of warehouse space located in Milan, Italy under a lease agreement that terminates in February 2030, which supports general office and logistics operations. We also lease approximately 15,900 square feet of office space located in Hangzhou, China under a lease agreement that terminates in November 2030, which supports research and development operations. We do not own any real property and believe that our current facilities, together with our global headquarters and research and development center, are sufficient to meet our ongoing needs and that, if we require additional space, we will be able to obtain additional facilities on commercially reasonable terms. </w:t>
      </w:r>
    </w:p>
    <w:p>
      <w:pPr>
        <w:pStyle w:val="TextBody"/>
        <w:bidi w:val="0"/>
        <w:spacing w:before="320" w:after="0"/>
        <w:jc w:val="left"/>
        <w:rPr>
          <w:rFonts w:ascii="arial" w:hAnsi="arial"/>
          <w:b/>
          <w:sz w:val="24"/>
        </w:rPr>
      </w:pPr>
      <w:r>
        <w:rPr>
          <w:rFonts w:ascii="arial" w:hAnsi="arial"/>
          <w:b/>
          <w:sz w:val="24"/>
        </w:rPr>
        <w:t xml:space="preserve">Legal proceedings </w:t>
      </w:r>
    </w:p>
    <w:p>
      <w:pPr>
        <w:pStyle w:val="TextBody"/>
        <w:bidi w:val="0"/>
        <w:spacing w:before="160" w:after="0"/>
        <w:jc w:val="left"/>
        <w:rPr>
          <w:rFonts w:ascii="arial" w:hAnsi="arial"/>
          <w:sz w:val="20"/>
        </w:rPr>
      </w:pPr>
      <w:r>
        <w:rPr>
          <w:rFonts w:ascii="arial" w:hAnsi="arial"/>
          <w:sz w:val="20"/>
        </w:rPr>
        <w:t xml:space="preserve">We are and may in the future become involved in legal proceedings arising in the ordinary course of our business. Regardless of outcome, litigation can have an adverse impact on us because of defense and settlement costs, diversion of management resources and other factors. We are currently involved in the following litigation matters: </w:t>
      </w:r>
    </w:p>
    <w:p>
      <w:pPr>
        <w:pStyle w:val="TextBody"/>
        <w:bidi w:val="0"/>
        <w:spacing w:before="160" w:after="0"/>
        <w:jc w:val="left"/>
        <w:rPr>
          <w:rFonts w:ascii="arial" w:hAnsi="arial"/>
          <w:sz w:val="20"/>
        </w:rPr>
      </w:pPr>
      <w:r>
        <w:rPr>
          <w:rFonts w:ascii="arial" w:hAnsi="arial"/>
          <w:i/>
          <w:sz w:val="20"/>
        </w:rPr>
        <w:t>Olink Proteomics AB and Olink Proteomics, Inc. v. Alamar Biosciences, Inc.,</w:t>
      </w:r>
      <w:r>
        <w:rPr>
          <w:rFonts w:ascii="arial" w:hAnsi="arial"/>
          <w:sz w:val="20"/>
        </w:rPr>
        <w:t xml:space="preserve"> United States District Court for the District of Delaware, Case No. 1:23-cv-1303-MN. Olink Proteomics AB and Olink Proteomics, Inc. (“Olink”) commenced the litigation on November 15, 2023. The complaint alleges infringement of U.S. Patent No. 7,883,848 by Alamar’s manufacture, use, offer for sale, sale, marketing and/or distribution of its NULISA platform used with or without its ARGO system. The asserted patent relates to a method for detecting functional interactions between at least two molecules of interest. Alamar filed a motion to dismiss, which the Court granted in part on February 11, 2025, without prejudice and with leave for Olink to file an amended complaint. The case was stayed pending resolution of IPR2024-01353 and the Final Written Decision issued on March 4, 2026 (addressed below). Olink filed an amended complaint, repleading its claims under U.S. Patent No. 7,883,848, on April 2, 2026, and the Court has lifted the stay. No trial date has been set. </w:t>
      </w:r>
    </w:p>
    <w:p>
      <w:pPr>
        <w:pStyle w:val="TextBody"/>
        <w:bidi w:val="0"/>
        <w:spacing w:before="160" w:after="0"/>
        <w:jc w:val="left"/>
        <w:rPr>
          <w:rFonts w:ascii="arial" w:hAnsi="arial"/>
          <w:sz w:val="20"/>
        </w:rPr>
      </w:pPr>
      <w:r>
        <w:rPr>
          <w:rFonts w:ascii="arial" w:hAnsi="arial"/>
          <w:i/>
          <w:sz w:val="20"/>
        </w:rPr>
        <w:t>Alamar Biosciences, Inc. v. Olink Proteomics AB,</w:t>
      </w:r>
      <w:r>
        <w:rPr>
          <w:rFonts w:ascii="arial" w:hAnsi="arial"/>
          <w:sz w:val="20"/>
        </w:rPr>
        <w:t xml:space="preserve"> United States Patent and Trademark Office, Patent Trial and Appeal Board, Case No. IPR2024-01353. On August 23, 2024, Alamar filed a Petition for Inter Partes Review challenging all claims of U.S. Patent No. 7,883,848. The PTAB instituted trial on all grounds raised in Alamar’s Petition. On March 4, 2026, the PTAB issued a Final Written Decision finding that no claims of U.S. Patent No. 7,883,848 were unpatentable. Alamar had 30 days from this decision to seek Rehearing, 30 days to seek Director Review, and has 63 days to file a notice of appeal to the United States Court of Appeals for the Federal Circuit.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6" w:name="toc39680_112"/>
      <w:bookmarkEnd w:id="16"/>
      <w:r>
        <w:rPr>
          <w:rFonts w:ascii="arial" w:hAnsi="arial"/>
          <w:b/>
          <w:sz w:val="32"/>
        </w:rPr>
        <w:t xml:space="preserve">Management </w:t>
      </w:r>
    </w:p>
    <w:p>
      <w:pPr>
        <w:pStyle w:val="TextBody"/>
        <w:bidi w:val="0"/>
        <w:spacing w:before="160" w:after="0"/>
        <w:jc w:val="left"/>
        <w:rPr>
          <w:rFonts w:ascii="arial" w:hAnsi="arial"/>
          <w:sz w:val="20"/>
        </w:rPr>
      </w:pPr>
      <w:r>
        <w:rPr>
          <w:rFonts w:ascii="arial" w:hAnsi="arial"/>
          <w:sz w:val="20"/>
        </w:rPr>
        <w:t xml:space="preserve">The following table sets forth information regarding our executive officers and directors as of April 16,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2"/>
        <w:gridCol w:w="251"/>
        <w:gridCol w:w="79"/>
        <w:gridCol w:w="353"/>
        <w:gridCol w:w="60"/>
        <w:gridCol w:w="503"/>
        <w:gridCol w:w="5377"/>
      </w:tblGrid>
      <w:tr>
        <w:trPr/>
        <w:tc>
          <w:tcPr>
            <w:tcW w:w="3582"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537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582" w:type="dxa"/>
            <w:tcBorders>
              <w:top w:val="single" w:sz="16" w:space="0" w:color="000000"/>
            </w:tcBorders>
            <w:tcMar>
              <w:top w:w="28" w:type="dxa"/>
            </w:tcMar>
            <w:vAlign w:val="center"/>
          </w:tcPr>
          <w:p>
            <w:pPr>
              <w:pStyle w:val="TableContents"/>
              <w:bidi w:val="0"/>
              <w:spacing w:before="0" w:after="283"/>
              <w:jc w:val="left"/>
              <w:rPr/>
            </w:pPr>
            <w:r>
              <w:rPr/>
              <w:t> </w:t>
            </w:r>
          </w:p>
        </w:tc>
        <w:tc>
          <w:tcPr>
            <w:tcW w:w="743"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5880"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3582"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432" w:type="dxa"/>
            <w:gridSpan w:val="2"/>
            <w:tcBorders>
              <w:bottom w:val="single" w:sz="2" w:space="0" w:color="000000"/>
            </w:tcBorders>
            <w:tcMar>
              <w:bottom w:w="28" w:type="dxa"/>
            </w:tcMar>
            <w:vAlign w:val="bottom"/>
          </w:tcPr>
          <w:p>
            <w:pPr>
              <w:pStyle w:val="TableContents"/>
              <w:bidi w:val="0"/>
              <w:spacing w:before="0" w:after="283"/>
              <w:jc w:val="left"/>
              <w:rPr>
                <w:b/>
              </w:rPr>
            </w:pPr>
            <w:r>
              <w:rPr>
                <w:b/>
              </w:rPr>
              <w:t>Age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03" w:type="dxa"/>
            <w:tcBorders>
              <w:bottom w:val="single" w:sz="2" w:space="0" w:color="000000"/>
            </w:tcBorders>
            <w:tcMar>
              <w:bottom w:w="28" w:type="dxa"/>
            </w:tcMar>
            <w:vAlign w:val="bottom"/>
          </w:tcPr>
          <w:p>
            <w:pPr>
              <w:pStyle w:val="TableContents"/>
              <w:bidi w:val="0"/>
              <w:spacing w:before="0" w:after="283"/>
              <w:jc w:val="left"/>
              <w:rPr/>
            </w:pPr>
            <w:r>
              <w:rPr/>
              <w:t>    </w:t>
            </w:r>
          </w:p>
        </w:tc>
        <w:tc>
          <w:tcPr>
            <w:tcW w:w="5377" w:type="dxa"/>
            <w:tcBorders>
              <w:bottom w:val="single" w:sz="2" w:space="0" w:color="000000"/>
            </w:tcBorders>
            <w:tcMar>
              <w:bottom w:w="28" w:type="dxa"/>
            </w:tcMar>
            <w:vAlign w:val="bottom"/>
          </w:tcPr>
          <w:p>
            <w:pPr>
              <w:pStyle w:val="TableContents"/>
              <w:bidi w:val="0"/>
              <w:spacing w:before="0" w:after="283"/>
              <w:jc w:val="left"/>
              <w:rPr>
                <w:b/>
              </w:rPr>
            </w:pPr>
            <w:r>
              <w:rPr>
                <w:b/>
              </w:rPr>
              <w:t>Position(s)</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shd w:fill="CCEEFF" w:val="clear"/>
          </w:tcPr>
          <w:p>
            <w:pPr>
              <w:pStyle w:val="TableContents"/>
              <w:bidi w:val="0"/>
              <w:spacing w:before="0" w:after="0"/>
              <w:jc w:val="left"/>
              <w:rPr>
                <w:rFonts w:ascii="arial" w:hAnsi="arial"/>
                <w:b/>
                <w:i/>
                <w:sz w:val="20"/>
              </w:rPr>
            </w:pPr>
            <w:r>
              <w:rPr>
                <w:rFonts w:ascii="arial" w:hAnsi="arial"/>
                <w:b/>
                <w:i/>
                <w:sz w:val="20"/>
              </w:rPr>
              <w:t>Executive officers and employee directors</w:t>
            </w:r>
          </w:p>
        </w:tc>
        <w:tc>
          <w:tcPr>
            <w:tcW w:w="2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3" w:type="dxa"/>
            <w:tcBorders/>
            <w:shd w:fill="CCEEFF" w:val="clear"/>
            <w:vAlign w:val="bottom"/>
          </w:tcPr>
          <w:p>
            <w:pPr>
              <w:pStyle w:val="TableContents"/>
              <w:bidi w:val="0"/>
              <w:spacing w:before="0" w:after="283"/>
              <w:jc w:val="left"/>
              <w:rPr/>
            </w:pPr>
            <w:r>
              <w:rPr/>
              <w:t>    </w:t>
            </w:r>
          </w:p>
        </w:tc>
        <w:tc>
          <w:tcPr>
            <w:tcW w:w="5377"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bidi w:val="0"/>
              <w:spacing w:before="0" w:after="283"/>
              <w:jc w:val="left"/>
              <w:rPr/>
            </w:pPr>
            <w:r>
              <w:rPr/>
              <w:t>Yuling Luo, Ph.D.</w:t>
            </w:r>
          </w:p>
        </w:tc>
        <w:tc>
          <w:tcPr>
            <w:tcW w:w="2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5377" w:type="dxa"/>
            <w:tcBorders/>
            <w:vAlign w:val="bottom"/>
          </w:tcPr>
          <w:p>
            <w:pPr>
              <w:pStyle w:val="TableContents"/>
              <w:bidi w:val="0"/>
              <w:spacing w:before="0" w:after="283"/>
              <w:jc w:val="left"/>
              <w:rPr/>
            </w:pPr>
            <w:r>
              <w:rPr/>
              <w:t>Founder, Chief Executive Officer and Chairman</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shd w:fill="CCEEFF" w:val="clear"/>
          </w:tcPr>
          <w:p>
            <w:pPr>
              <w:pStyle w:val="TableContents"/>
              <w:bidi w:val="0"/>
              <w:spacing w:before="0" w:after="0"/>
              <w:jc w:val="left"/>
              <w:rPr>
                <w:rFonts w:ascii="arial" w:hAnsi="arial"/>
                <w:sz w:val="20"/>
              </w:rPr>
            </w:pPr>
            <w:r>
              <w:rPr>
                <w:rFonts w:ascii="arial" w:hAnsi="arial"/>
                <w:sz w:val="20"/>
              </w:rPr>
              <w:t>Timothy “Tod” White</w:t>
            </w:r>
          </w:p>
        </w:tc>
        <w:tc>
          <w:tcPr>
            <w:tcW w:w="25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53" w:type="dxa"/>
            <w:tcBorders/>
            <w:shd w:fill="CCEEFF" w:val="clear"/>
          </w:tcPr>
          <w:p>
            <w:pPr>
              <w:pStyle w:val="TableContents"/>
              <w:bidi w:val="0"/>
              <w:spacing w:before="0" w:after="283"/>
              <w:jc w:val="right"/>
              <w:rPr/>
            </w:pPr>
            <w:r>
              <w:rPr/>
              <w:t>58</w:t>
            </w:r>
          </w:p>
        </w:tc>
        <w:tc>
          <w:tcPr>
            <w:tcW w:w="60" w:type="dxa"/>
            <w:tcBorders/>
            <w:shd w:fill="CCEEFF" w:val="clear"/>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5377" w:type="dxa"/>
            <w:tcBorders/>
            <w:shd w:fill="CCEEFF" w:val="clear"/>
            <w:vAlign w:val="bottom"/>
          </w:tcPr>
          <w:p>
            <w:pPr>
              <w:pStyle w:val="TableContents"/>
              <w:bidi w:val="0"/>
              <w:spacing w:before="0" w:after="283"/>
              <w:jc w:val="left"/>
              <w:rPr/>
            </w:pPr>
            <w:r>
              <w:rPr/>
              <w:t>President</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bidi w:val="0"/>
              <w:spacing w:before="0" w:after="0"/>
              <w:jc w:val="left"/>
              <w:rPr>
                <w:rFonts w:ascii="arial" w:hAnsi="arial"/>
                <w:sz w:val="20"/>
              </w:rPr>
            </w:pPr>
            <w:r>
              <w:rPr>
                <w:rFonts w:ascii="arial" w:hAnsi="arial"/>
                <w:sz w:val="20"/>
              </w:rPr>
              <w:t>Justin McAnear</w:t>
            </w:r>
          </w:p>
        </w:tc>
        <w:tc>
          <w:tcPr>
            <w:tcW w:w="25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53" w:type="dxa"/>
            <w:tcBorders/>
          </w:tcPr>
          <w:p>
            <w:pPr>
              <w:pStyle w:val="TableContents"/>
              <w:bidi w:val="0"/>
              <w:spacing w:before="0" w:after="283"/>
              <w:jc w:val="right"/>
              <w:rPr/>
            </w:pPr>
            <w:r>
              <w:rPr/>
              <w:t>50</w:t>
            </w:r>
          </w:p>
        </w:tc>
        <w:tc>
          <w:tcPr>
            <w:tcW w:w="60" w:type="dxa"/>
            <w:tcBorders/>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5377" w:type="dxa"/>
            <w:tcBorders/>
            <w:vAlign w:val="bottom"/>
          </w:tcPr>
          <w:p>
            <w:pPr>
              <w:pStyle w:val="TableContents"/>
              <w:bidi w:val="0"/>
              <w:spacing w:before="0" w:after="283"/>
              <w:jc w:val="left"/>
              <w:rPr/>
            </w:pPr>
            <w:r>
              <w:rPr/>
              <w:t>Chief Financial Officer</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shd w:fill="CCEEFF" w:val="clear"/>
          </w:tcPr>
          <w:p>
            <w:pPr>
              <w:pStyle w:val="TableContents"/>
              <w:bidi w:val="0"/>
              <w:spacing w:before="0" w:after="0"/>
              <w:jc w:val="left"/>
              <w:rPr>
                <w:rFonts w:ascii="arial" w:hAnsi="arial"/>
                <w:sz w:val="20"/>
              </w:rPr>
            </w:pPr>
            <w:r>
              <w:rPr>
                <w:rFonts w:ascii="arial" w:hAnsi="arial"/>
                <w:sz w:val="20"/>
              </w:rPr>
              <w:t>Shiping “Steve” Chen, Ph.D.</w:t>
            </w:r>
          </w:p>
        </w:tc>
        <w:tc>
          <w:tcPr>
            <w:tcW w:w="25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53" w:type="dxa"/>
            <w:tcBorders/>
            <w:shd w:fill="CCEEFF" w:val="clear"/>
          </w:tcPr>
          <w:p>
            <w:pPr>
              <w:pStyle w:val="TableContents"/>
              <w:bidi w:val="0"/>
              <w:spacing w:before="0" w:after="283"/>
              <w:jc w:val="right"/>
              <w:rPr/>
            </w:pPr>
            <w:r>
              <w:rPr/>
              <w:t>63</w:t>
            </w:r>
          </w:p>
        </w:tc>
        <w:tc>
          <w:tcPr>
            <w:tcW w:w="60" w:type="dxa"/>
            <w:tcBorders/>
            <w:shd w:fill="CCEEFF" w:val="clear"/>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5377" w:type="dxa"/>
            <w:tcBorders/>
            <w:shd w:fill="CCEEFF" w:val="clear"/>
            <w:vAlign w:val="bottom"/>
          </w:tcPr>
          <w:p>
            <w:pPr>
              <w:pStyle w:val="TableContents"/>
              <w:bidi w:val="0"/>
              <w:spacing w:before="0" w:after="283"/>
              <w:jc w:val="left"/>
              <w:rPr/>
            </w:pPr>
            <w:r>
              <w:rPr/>
              <w:t>Founder, Chief Operating Officer and Director</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bidi w:val="0"/>
              <w:spacing w:before="0" w:after="0"/>
              <w:jc w:val="left"/>
              <w:rPr>
                <w:rFonts w:ascii="ARIAL" w:hAnsi="ARIAL"/>
                <w:sz w:val="20"/>
              </w:rPr>
            </w:pPr>
            <w:r>
              <w:rPr>
                <w:rFonts w:ascii="ARIAL" w:hAnsi="ARIAL"/>
                <w:sz w:val="20"/>
              </w:rPr>
              <w:t>Non-employee directors</w:t>
            </w:r>
          </w:p>
        </w:tc>
        <w:tc>
          <w:tcPr>
            <w:tcW w:w="25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sz w:val="4"/>
                <w:szCs w:val="4"/>
              </w:rPr>
            </w:pPr>
            <w:r>
              <w:rPr>
                <w:sz w:val="4"/>
                <w:szCs w:val="4"/>
              </w:rPr>
            </w:r>
          </w:p>
        </w:tc>
        <w:tc>
          <w:tcPr>
            <w:tcW w:w="35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537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shd w:fill="CCEEFF" w:val="clear"/>
          </w:tcPr>
          <w:p>
            <w:pPr>
              <w:pStyle w:val="TableContents"/>
              <w:bidi w:val="0"/>
              <w:spacing w:before="0" w:after="0"/>
              <w:jc w:val="left"/>
              <w:rPr>
                <w:rFonts w:ascii="arial" w:hAnsi="arial"/>
                <w:sz w:val="20"/>
              </w:rPr>
            </w:pPr>
            <w:r>
              <w:rPr>
                <w:rFonts w:ascii="arial" w:hAnsi="arial"/>
                <w:sz w:val="20"/>
              </w:rPr>
              <w:t>Rebecca Chambers(1) (2) (3)</w:t>
            </w:r>
          </w:p>
        </w:tc>
        <w:tc>
          <w:tcPr>
            <w:tcW w:w="25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53" w:type="dxa"/>
            <w:tcBorders/>
            <w:shd w:fill="CCEEFF" w:val="clear"/>
          </w:tcPr>
          <w:p>
            <w:pPr>
              <w:pStyle w:val="TableContents"/>
              <w:bidi w:val="0"/>
              <w:spacing w:before="0" w:after="283"/>
              <w:jc w:val="right"/>
              <w:rPr/>
            </w:pPr>
            <w:r>
              <w:rPr/>
              <w:t>48</w:t>
            </w:r>
          </w:p>
        </w:tc>
        <w:tc>
          <w:tcPr>
            <w:tcW w:w="60" w:type="dxa"/>
            <w:tcBorders/>
            <w:shd w:fill="CCEEFF" w:val="clear"/>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5377" w:type="dxa"/>
            <w:tcBorders/>
            <w:shd w:fill="CCEEFF" w:val="clear"/>
            <w:vAlign w:val="bottom"/>
          </w:tcPr>
          <w:p>
            <w:pPr>
              <w:pStyle w:val="TableContents"/>
              <w:bidi w:val="0"/>
              <w:spacing w:before="0" w:after="283"/>
              <w:jc w:val="left"/>
              <w:rPr/>
            </w:pPr>
            <w:r>
              <w:rPr/>
              <w:t>Director</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bidi w:val="0"/>
              <w:spacing w:before="0" w:after="0"/>
              <w:jc w:val="left"/>
              <w:rPr>
                <w:rFonts w:ascii="arial" w:hAnsi="arial"/>
                <w:sz w:val="20"/>
              </w:rPr>
            </w:pPr>
            <w:r>
              <w:rPr>
                <w:rFonts w:ascii="arial" w:hAnsi="arial"/>
                <w:sz w:val="20"/>
              </w:rPr>
              <w:t>Nicholas Naclerio, Ph.D.(1) (2)</w:t>
            </w:r>
          </w:p>
        </w:tc>
        <w:tc>
          <w:tcPr>
            <w:tcW w:w="25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53" w:type="dxa"/>
            <w:tcBorders/>
          </w:tcPr>
          <w:p>
            <w:pPr>
              <w:pStyle w:val="TableContents"/>
              <w:bidi w:val="0"/>
              <w:spacing w:before="0" w:after="283"/>
              <w:jc w:val="right"/>
              <w:rPr/>
            </w:pPr>
            <w:r>
              <w:rPr/>
              <w:t>64</w:t>
            </w:r>
          </w:p>
        </w:tc>
        <w:tc>
          <w:tcPr>
            <w:tcW w:w="60" w:type="dxa"/>
            <w:tcBorders/>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5377" w:type="dxa"/>
            <w:tcBorders/>
            <w:vAlign w:val="bottom"/>
          </w:tcPr>
          <w:p>
            <w:pPr>
              <w:pStyle w:val="TableContents"/>
              <w:bidi w:val="0"/>
              <w:spacing w:before="0" w:after="283"/>
              <w:jc w:val="left"/>
              <w:rPr/>
            </w:pPr>
            <w:r>
              <w:rPr/>
              <w:t>Director</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shd w:fill="CCEEFF" w:val="clear"/>
          </w:tcPr>
          <w:p>
            <w:pPr>
              <w:pStyle w:val="TableContents"/>
              <w:bidi w:val="0"/>
              <w:spacing w:before="0" w:after="0"/>
              <w:jc w:val="left"/>
              <w:rPr>
                <w:rFonts w:ascii="arial" w:hAnsi="arial"/>
                <w:sz w:val="20"/>
              </w:rPr>
            </w:pPr>
            <w:r>
              <w:rPr>
                <w:rFonts w:ascii="arial" w:hAnsi="arial"/>
                <w:sz w:val="20"/>
              </w:rPr>
              <w:t>Ian W. Ratcliffe(3)</w:t>
            </w:r>
          </w:p>
        </w:tc>
        <w:tc>
          <w:tcPr>
            <w:tcW w:w="251"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53" w:type="dxa"/>
            <w:tcBorders/>
            <w:shd w:fill="CCEEFF" w:val="clear"/>
          </w:tcPr>
          <w:p>
            <w:pPr>
              <w:pStyle w:val="TableContents"/>
              <w:bidi w:val="0"/>
              <w:spacing w:before="0" w:after="283"/>
              <w:jc w:val="right"/>
              <w:rPr/>
            </w:pPr>
            <w:r>
              <w:rPr/>
              <w:t>64</w:t>
            </w:r>
          </w:p>
        </w:tc>
        <w:tc>
          <w:tcPr>
            <w:tcW w:w="60" w:type="dxa"/>
            <w:tcBorders/>
            <w:shd w:fill="CCEEFF" w:val="clear"/>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5377" w:type="dxa"/>
            <w:tcBorders/>
            <w:shd w:fill="CCEEFF" w:val="clear"/>
            <w:vAlign w:val="bottom"/>
          </w:tcPr>
          <w:p>
            <w:pPr>
              <w:pStyle w:val="TableContents"/>
              <w:bidi w:val="0"/>
              <w:spacing w:before="0" w:after="283"/>
              <w:jc w:val="left"/>
              <w:rPr/>
            </w:pPr>
            <w:r>
              <w:rPr/>
              <w:t>Director</w:t>
            </w:r>
          </w:p>
        </w:tc>
      </w:tr>
      <w:tr>
        <w:trPr>
          <w:trHeight w:val="120" w:hRule="atLeast"/>
        </w:trPr>
        <w:tc>
          <w:tcPr>
            <w:tcW w:w="3582" w:type="dxa"/>
            <w:tcBorders/>
            <w:vAlign w:val="center"/>
          </w:tcPr>
          <w:p>
            <w:pPr>
              <w:pStyle w:val="TableContents"/>
              <w:bidi w:val="0"/>
              <w:spacing w:before="0" w:after="283"/>
              <w:jc w:val="left"/>
              <w:rPr>
                <w:sz w:val="4"/>
                <w:szCs w:val="4"/>
              </w:rPr>
            </w:pPr>
            <w:r>
              <w:rPr>
                <w:sz w:val="4"/>
                <w:szCs w:val="4"/>
              </w:rPr>
            </w:r>
          </w:p>
        </w:tc>
        <w:tc>
          <w:tcPr>
            <w:tcW w:w="743" w:type="dxa"/>
            <w:gridSpan w:val="4"/>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3582" w:type="dxa"/>
            <w:tcBorders/>
          </w:tcPr>
          <w:p>
            <w:pPr>
              <w:pStyle w:val="TableContents"/>
              <w:bidi w:val="0"/>
              <w:spacing w:before="0" w:after="0"/>
              <w:jc w:val="left"/>
              <w:rPr>
                <w:rFonts w:ascii="arial" w:hAnsi="arial"/>
                <w:sz w:val="20"/>
              </w:rPr>
            </w:pPr>
            <w:r>
              <w:rPr>
                <w:rFonts w:ascii="arial" w:hAnsi="arial"/>
                <w:sz w:val="20"/>
              </w:rPr>
              <w:t>Frank R. Witney, Ph.D.(1) (2) (3)</w:t>
            </w:r>
          </w:p>
        </w:tc>
        <w:tc>
          <w:tcPr>
            <w:tcW w:w="2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5377" w:type="dxa"/>
            <w:tcBorders/>
            <w:vAlign w:val="bottom"/>
          </w:tcPr>
          <w:p>
            <w:pPr>
              <w:pStyle w:val="TableContents"/>
              <w:bidi w:val="0"/>
              <w:spacing w:before="0" w:after="283"/>
              <w:jc w:val="left"/>
              <w:rPr/>
            </w:pPr>
            <w:r>
              <w:rPr/>
              <w:t>Director</w:t>
            </w:r>
          </w:p>
        </w:tc>
      </w:tr>
      <w:tr>
        <w:trPr/>
        <w:tc>
          <w:tcPr>
            <w:tcW w:w="10205" w:type="dxa"/>
            <w:gridSpan w:val="7"/>
            <w:tcBorders/>
          </w:tcPr>
          <w:p>
            <w:pPr>
              <w:pStyle w:val="TableContents"/>
              <w:pBdr>
                <w:bottom w:val="single" w:sz="2"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Member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107"/>
        <w:gridCol w:w="9871"/>
      </w:tblGrid>
      <w:tr>
        <w:trPr/>
        <w:tc>
          <w:tcPr>
            <w:tcW w:w="227" w:type="dxa"/>
            <w:tcBorders/>
          </w:tcPr>
          <w:p>
            <w:pPr>
              <w:pStyle w:val="TableContents"/>
              <w:bidi w:val="0"/>
              <w:spacing w:before="0" w:after="283"/>
              <w:jc w:val="left"/>
              <w:rPr/>
            </w:pPr>
            <w:r>
              <w:rPr/>
              <w:t>(2)</w:t>
            </w:r>
          </w:p>
        </w:tc>
        <w:tc>
          <w:tcPr>
            <w:tcW w:w="107" w:type="dxa"/>
            <w:tcBorders/>
          </w:tcPr>
          <w:p>
            <w:pPr>
              <w:pStyle w:val="TableContents"/>
              <w:bidi w:val="0"/>
              <w:spacing w:before="0" w:after="283"/>
              <w:jc w:val="left"/>
              <w:rPr/>
            </w:pPr>
            <w:r>
              <w:rPr/>
              <w:t> </w:t>
            </w:r>
          </w:p>
        </w:tc>
        <w:tc>
          <w:tcPr>
            <w:tcW w:w="9871" w:type="dxa"/>
            <w:tcBorders/>
          </w:tcPr>
          <w:p>
            <w:pPr>
              <w:pStyle w:val="TableContents"/>
              <w:bidi w:val="0"/>
              <w:spacing w:before="0" w:after="283"/>
              <w:jc w:val="left"/>
              <w:rPr/>
            </w:pPr>
            <w:r>
              <w:rPr/>
              <w:t xml:space="preserve">Member of the nominating and corporate governance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(3)</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Member of the audit committee. </w:t>
            </w:r>
          </w:p>
        </w:tc>
      </w:tr>
    </w:tbl>
    <w:p>
      <w:pPr>
        <w:pStyle w:val="TextBody"/>
        <w:bidi w:val="0"/>
        <w:spacing w:before="320" w:after="0"/>
        <w:jc w:val="left"/>
        <w:rPr>
          <w:rFonts w:ascii="arial" w:hAnsi="arial"/>
          <w:b/>
          <w:sz w:val="24"/>
        </w:rPr>
      </w:pPr>
      <w:r>
        <w:rPr>
          <w:rFonts w:ascii="arial" w:hAnsi="arial"/>
          <w:b/>
          <w:sz w:val="24"/>
        </w:rPr>
        <w:t xml:space="preserve">Executive officers </w:t>
      </w:r>
    </w:p>
    <w:p>
      <w:pPr>
        <w:pStyle w:val="TextBody"/>
        <w:bidi w:val="0"/>
        <w:spacing w:before="160" w:after="0"/>
        <w:jc w:val="left"/>
        <w:rPr>
          <w:rFonts w:ascii="arial" w:hAnsi="arial"/>
          <w:sz w:val="20"/>
        </w:rPr>
      </w:pPr>
      <w:r>
        <w:rPr>
          <w:rFonts w:ascii="arial" w:hAnsi="arial"/>
          <w:b/>
          <w:i/>
          <w:sz w:val="20"/>
        </w:rPr>
        <w:t>Yuling Luo, Ph.D.</w:t>
      </w:r>
      <w:r>
        <w:rPr>
          <w:rFonts w:ascii="arial" w:hAnsi="arial"/>
          <w:sz w:val="20"/>
        </w:rPr>
        <w:t xml:space="preserve"> is our co-founder and has served as our Chief Executive Officer and as Chairman of our board of directors since May 2018. Dr. Luo also co-founded Attovia Therapeutics, Inc., where he has served a director since December 2022. Dr. Luo also co-founded Avida Biomed Inc., where he served as a director from January 2019 until it was acquired by Agilent Technologies, Inc. in December 2022. From August 2016 to February 2018, Dr. Luo served as President, Advanced Cell Diagnostics of Bio-Techne Corporation a biotechnology research company. Dr. Luo also co-founded Advanced Cell Diagnostics, Inc. where he served as President and Chief Executive Officer from 2006 until it was acquired by Bio-Techne Corporation in 2016. Earlier in his career, Dr. Luo founded and served in various roles at Panomics, Inc., a life sciences company, and as a Senior Scientist at Exelixis, Inc., an oncology company. Dr. Luo received his B.S. in Chemistry from the University of Science and Technology of China and holds a Ph.D. in Biochemistry from Case Western Reserve University. Dr. Luo is qualified to serve on our board of directors because of his experience as a co-founder of our company and his extensive scientific knowledge, business and operations experience, including in leadership roles, and his experience working with companies in similar technologies and markets. </w:t>
      </w:r>
    </w:p>
    <w:p>
      <w:pPr>
        <w:pStyle w:val="TextBody"/>
        <w:bidi w:val="0"/>
        <w:spacing w:before="160" w:after="0"/>
        <w:jc w:val="left"/>
        <w:rPr>
          <w:rFonts w:ascii="arial" w:hAnsi="arial"/>
          <w:sz w:val="20"/>
        </w:rPr>
      </w:pPr>
      <w:r>
        <w:rPr>
          <w:rFonts w:ascii="arial" w:hAnsi="arial"/>
          <w:b/>
          <w:i/>
          <w:sz w:val="20"/>
        </w:rPr>
        <w:t>Timothy “Tod” White</w:t>
      </w:r>
      <w:r>
        <w:rPr>
          <w:rFonts w:ascii="arial" w:hAnsi="arial"/>
          <w:sz w:val="20"/>
        </w:rPr>
        <w:t xml:space="preserve"> has served as our President since October 2025. Prior to that, he served as our Chief Financial Officer and Chief Business Officer from March 2021 to October 2025. From 2002 to 2021, Mr. White was the founder and Managing Member of EMA Partners, LLC (“EMA”), a boutique investment bank primarily in the life science, diagnostic and healthcare industries. Prior to founding EMA, Mr. White served as General Counsel, Vice President and Secretary of Packard BioScience Company. Prior to that, Mr. White was a transactional attorney at the Denver law firm of Jacobs, Chase, Frick, Kleinkopf &amp; Kelley, LLC, where his practice included mergers, acquisitions, financings and securities work. Mr. White started his legal career as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transactional attorney in the Denver office of Ballard, Spahr, Andrews &amp; Ingersoll. Mr. White received his B.S. in Government from Hamilton College and a J.D. from the University of Michigan Law School. </w:t>
      </w:r>
    </w:p>
    <w:p>
      <w:pPr>
        <w:pStyle w:val="TextBody"/>
        <w:bidi w:val="0"/>
        <w:spacing w:before="160" w:after="0"/>
        <w:jc w:val="left"/>
        <w:rPr>
          <w:rFonts w:ascii="arial" w:hAnsi="arial"/>
          <w:sz w:val="20"/>
        </w:rPr>
      </w:pPr>
      <w:r>
        <w:rPr>
          <w:rFonts w:ascii="arial" w:hAnsi="arial"/>
          <w:b/>
          <w:i/>
          <w:sz w:val="20"/>
        </w:rPr>
        <w:t>Justin McAnear</w:t>
      </w:r>
      <w:r>
        <w:rPr>
          <w:rFonts w:ascii="arial" w:hAnsi="arial"/>
          <w:sz w:val="20"/>
        </w:rPr>
        <w:t xml:space="preserve"> has served as our Chief Financial Officer since October 2025. From September 2024 to October 2025, Mr. McAnear served as Chief Financial Officer of Cellares Corporation, a cell therapy manufacturing company. From October 2018 to August 2024, Mr. McAnear served as Chief Financial Officer of 10x Genomics, Inc., a life sciences technology company. From August 2015 to October 2018, Mr. McAnear was the Vice President of Worldwide Finance and Operations at Tesla, Inc., an automotive and clean energy company. Earlier in his career, Mr. McAnear served in various finance roles at Apple Inc., Johnson &amp; Johnson and served over nine years as a naval aviator in the U.S. Navy. Mr. McAnear received his B.S. in Systems Engineering at the U.S. Naval Academy and holds an M.B.A. in Finance from the University of San Diego. </w:t>
      </w:r>
    </w:p>
    <w:p>
      <w:pPr>
        <w:pStyle w:val="TextBody"/>
        <w:bidi w:val="0"/>
        <w:spacing w:before="160" w:after="0"/>
        <w:jc w:val="left"/>
        <w:rPr>
          <w:rFonts w:ascii="arial" w:hAnsi="arial"/>
          <w:sz w:val="20"/>
        </w:rPr>
      </w:pPr>
      <w:r>
        <w:rPr>
          <w:rFonts w:ascii="arial" w:hAnsi="arial"/>
          <w:b/>
          <w:i/>
          <w:sz w:val="20"/>
        </w:rPr>
        <w:t>Shiping “Steve” Chen, Ph.D.</w:t>
      </w:r>
      <w:r>
        <w:rPr>
          <w:rFonts w:ascii="arial" w:hAnsi="arial"/>
          <w:b/>
          <w:sz w:val="20"/>
        </w:rPr>
        <w:t>,</w:t>
      </w:r>
      <w:r>
        <w:rPr>
          <w:rFonts w:ascii="arial" w:hAnsi="arial"/>
          <w:sz w:val="20"/>
        </w:rPr>
        <w:t xml:space="preserve"> is our co-founder and has served as our Chief Operating Officer since August 2018 and as a member of our board of directors since May 2020. From August 2016 to August 2018, Dr. Chen served as Chief Operating Officer of the Advanced Cell Diagnostics division at Bio-Techne Corporation, a biotechnology research company. Dr. Chen also co-founded Advanced Cell Diagnostics, Inc., a diagnostics company, where he served as Chief Operating Officer from 2008 to 2016. Earlier in his career, he served as Director of Engineering at Power Automation Systems, a logistics automation company, and co-founded and served as Chief Technology Officer of Panomics, Inc., a life sciences company. Additionally, Dr. Chen previously served as Assistant Professor of Mechanical Engineering at the University of Maryland and as a Senior Lecturer of Electrical Engineering at London South Bank University from. Dr. Chen received his B.S. in Precision Instrumentation Engineering from the University of Science and Technology of China and obtained a Ph.D. in Electrical and Electronic Engineering from the University of London. Dr. Chen is qualified to serve on our board of directors because of his experience as a co-founder of our company and his extensive scientific knowledge, business and operations experience, including in leadership roles, and his experience working with companies in similar technologies and markets. </w:t>
      </w:r>
    </w:p>
    <w:p>
      <w:pPr>
        <w:pStyle w:val="TextBody"/>
        <w:bidi w:val="0"/>
        <w:spacing w:before="320" w:after="0"/>
        <w:jc w:val="left"/>
        <w:rPr>
          <w:rFonts w:ascii="arial" w:hAnsi="arial"/>
          <w:b/>
          <w:sz w:val="24"/>
        </w:rPr>
      </w:pPr>
      <w:r>
        <w:rPr>
          <w:rFonts w:ascii="arial" w:hAnsi="arial"/>
          <w:b/>
          <w:sz w:val="24"/>
        </w:rPr>
        <w:t xml:space="preserve">Non-employee directors </w:t>
      </w:r>
    </w:p>
    <w:p>
      <w:pPr>
        <w:pStyle w:val="TextBody"/>
        <w:bidi w:val="0"/>
        <w:spacing w:before="160" w:after="0"/>
        <w:jc w:val="left"/>
        <w:rPr>
          <w:rFonts w:ascii="arial" w:hAnsi="arial"/>
          <w:sz w:val="20"/>
        </w:rPr>
      </w:pPr>
      <w:r>
        <w:rPr>
          <w:rFonts w:ascii="arial" w:hAnsi="arial"/>
          <w:b/>
          <w:i/>
          <w:sz w:val="20"/>
        </w:rPr>
        <w:t>Rebecca Chambers</w:t>
      </w:r>
      <w:r>
        <w:rPr>
          <w:rFonts w:ascii="arial" w:hAnsi="arial"/>
          <w:sz w:val="20"/>
        </w:rPr>
        <w:t xml:space="preserve"> has served as a member of our board of directors since January 2026. Ms. Chambers serves as Executive Vice President and Chief Financial Officer of Veracyte, Inc., a global diagnostics company focused on transforming cancer care, a position she has held since July 2021. She served as Chief Financial Officer of Outset Medical, Inc., a medical technology company, from June 2019 to July 2021. Prior to that, Ms. Chambers served in a number of roles at Illumina, Inc., a genomics company, including as the Vice President, Financial Planning and Analysis from July 2017 to May 2019, as Vice President, Investor Relations and Treasury from April 2015 to June 2017, and as Senior Director, Investor Relations from October 2012 to April 2015. Earlier in her career, she served as Head of Investor Relations and Corporate Communications at Myriad Genetics, held various roles in investor relations at Life Technologies (now part of Thermo Fisher Scientific), served as a Vice President at Bank of America and as a Senior Research Associate at Millennium Pharmaceuticals (now part of Takeda Pharmaceuticals). Ms. Chambers previously served on the board of Inari Medical, Inc. from June 2021 until its acquisition by Stryker in February 2025. Ms. Chambers holds a B.S. in Biology from John Carroll University and an M.B.A. from The S.C. Johnson Graduate School of Management, Cornell University. Ms. Chambers is qualified to serve on our board of directors because of her extensive leadership and financial experience serving public companies in the life science tools and diagnostics, as well as medical device, industries. </w:t>
      </w:r>
    </w:p>
    <w:p>
      <w:pPr>
        <w:pStyle w:val="TextBody"/>
        <w:bidi w:val="0"/>
        <w:spacing w:before="160" w:after="0"/>
        <w:jc w:val="left"/>
        <w:rPr>
          <w:rFonts w:ascii="arial" w:hAnsi="arial"/>
          <w:sz w:val="20"/>
        </w:rPr>
      </w:pPr>
      <w:r>
        <w:rPr>
          <w:rFonts w:ascii="arial" w:hAnsi="arial"/>
          <w:b/>
          <w:i/>
          <w:sz w:val="20"/>
        </w:rPr>
        <w:t>Nicholas Naclerio, Ph.D.,</w:t>
      </w:r>
      <w:r>
        <w:rPr>
          <w:rFonts w:ascii="arial" w:hAnsi="arial"/>
          <w:sz w:val="20"/>
        </w:rPr>
        <w:t xml:space="preserve"> has served as a member of our board of directors since May 2020. Dr. Naclerio is the Founding Partner of Illumina Ventures, a position he has held since April 2016. Dr. Naclerio currently serves on the boards of directors of a number of privately held companies. Earlier in his career, Dr. Naclerio served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Senior Vice President, Corporate &amp; Venture Development of Illumina, Inc., a genomics company, from July 2010 to April 2015. Dr. Naclerio also co-founded Quanterix Corporation, a diagnostics company, and served as the Chairman of the Board and Chief Executive Officer from 2007 to 2010. Dr. Naclerio received his B.S. in Electrical Engineering/Computer Science from Duke University and a Ph.D. in Electrical Engineering from the University of Maryland College Park. Dr. Naclerio is qualified to serve on our board of directors because of his extensive scientific knowledge, business and operations experience, including as a venture capital investor and a member of the boards of directors of other life sciences businesses. </w:t>
      </w:r>
    </w:p>
    <w:p>
      <w:pPr>
        <w:pStyle w:val="TextBody"/>
        <w:bidi w:val="0"/>
        <w:spacing w:before="160" w:after="0"/>
        <w:jc w:val="left"/>
        <w:rPr>
          <w:rFonts w:ascii="arial" w:hAnsi="arial"/>
          <w:sz w:val="20"/>
        </w:rPr>
      </w:pPr>
      <w:r>
        <w:rPr>
          <w:rFonts w:ascii="arial" w:hAnsi="arial"/>
          <w:b/>
          <w:i/>
          <w:sz w:val="20"/>
        </w:rPr>
        <w:t>Ian W. Ratcliffe</w:t>
      </w:r>
      <w:r>
        <w:rPr>
          <w:rFonts w:ascii="arial" w:hAnsi="arial"/>
          <w:sz w:val="20"/>
        </w:rPr>
        <w:t xml:space="preserve"> has served as a member of our board of directors since February 2024. Mr. Ratcliffe is an Executive Managing Partner of the Life Sciences Pulse strategy and an Executive Managing Director of Sands Capital. Mr. Ratcliffe joined Sands Capital in 2016. He is a serial entrepreneur and has 20 years of experience starting and investing in life sciences technology businesses as an angel, venture, and private equity investor. Mr. Ratcliffe has served in many roles as a founder, CEO, CFO, COO, chairman, director, and advisor to a number of privately held life science product and service businesses. He has focused on the cell signaling, drug screening, genomics, and sequencing, and cell culture and modification segments, at all stages of business development from initiation through profitability to trade sale. Prior to joining Sands Capital, Mr. Ratcliffe was the Chairman and CEO of Enzymatics Inc., founder and CEO of Stemgent, Inc., a stem and iPS cell life sciences tools company, and President of Upstate Inc., a leading provider of cell signaling research products and services. Mr. Ratcliffe was also a founding investor in Firefly Bioworks and Genometry, both Sands Capital investments. Mr. Ratcliffe has a degree in Chemical Engineering from the University of Surrey and has an M.B.A. from the Darden School at the University of Virginia. Mr. Ratcliffe is qualified to serve on our board of directors because of his extensive experience in life sciences businesses, including as a venture capital investor, executive officer and a member of the boards of directors of other life sciences businesses. </w:t>
      </w:r>
    </w:p>
    <w:p>
      <w:pPr>
        <w:pStyle w:val="TextBody"/>
        <w:bidi w:val="0"/>
        <w:spacing w:before="160" w:after="0"/>
        <w:jc w:val="left"/>
        <w:rPr>
          <w:rFonts w:ascii="arial" w:hAnsi="arial"/>
          <w:sz w:val="20"/>
        </w:rPr>
      </w:pPr>
      <w:r>
        <w:rPr>
          <w:rFonts w:ascii="arial" w:hAnsi="arial"/>
          <w:b/>
          <w:i/>
          <w:sz w:val="20"/>
        </w:rPr>
        <w:t>Frank R. Witney, Ph.D.</w:t>
      </w:r>
      <w:r>
        <w:rPr>
          <w:rFonts w:ascii="arial" w:hAnsi="arial"/>
          <w:sz w:val="20"/>
        </w:rPr>
        <w:t xml:space="preserve"> has served as a member of our board of directors since January 2026 and a consultant since April 2021. Dr. Witney has served as an operating partner at Ampersand Capital Partners, a private equity firm, since September 2016. Prior to that, Dr. Witney served as President and Chief Executive Officer of Affymetrix, Inc. (“Affymetrix”), a provider of life science, cell biology and diagnostic products from July 2011 to March 2016. Previously, Dr. Witney served as President and Chief Executive Officer of Dionex Corporation, a provider of analytical instrumentation and related accessories and chemicals from April 2009 to May 2011. Earlier in his career, Dr. Witney served as Affymetrix’s Executive Vice President and Chief Commercial Officer from December 2008 to April 2009 and President and Chief Executive Officer of Panomics Inc. from July 2002 to December 2008. Dr. Witney currently serves on the board of directors of Cerus Corporation, a publicly traded blood safety company, Revvity, Inc., a publicly traded life sciences diagnostics company, and Standard BioTools, Inc., a publicly traded life science tools company, as well as several privately held companies. Dr. Witney also served as a director of Telesis Bio, Inc., a publicly traded synthetic biology company from 2021 to 2024. Dr. Witney earned a B.S. in Microbiology from the University of Illinois as well as a M.S. in Microbiology and a Ph.D. in Molecular and Cellular Biology from Indiana University. Dr. Witney is qualified to serve on our board of directors because of his extensive experience in life sciences businesses, including as an investor, executive officer and a member of the boards of directors of other public and private life sciences businesses. </w:t>
      </w:r>
    </w:p>
    <w:p>
      <w:pPr>
        <w:pStyle w:val="TextBody"/>
        <w:bidi w:val="0"/>
        <w:spacing w:before="320" w:after="0"/>
        <w:jc w:val="left"/>
        <w:rPr>
          <w:rFonts w:ascii="arial" w:hAnsi="arial"/>
          <w:b/>
          <w:sz w:val="24"/>
        </w:rPr>
      </w:pPr>
      <w:r>
        <w:rPr>
          <w:rFonts w:ascii="arial" w:hAnsi="arial"/>
          <w:b/>
          <w:sz w:val="24"/>
        </w:rPr>
        <w:t xml:space="preserve">Family relationships </w:t>
      </w:r>
    </w:p>
    <w:p>
      <w:pPr>
        <w:pStyle w:val="TextBody"/>
        <w:bidi w:val="0"/>
        <w:spacing w:before="160" w:after="0"/>
        <w:jc w:val="left"/>
        <w:rPr>
          <w:rFonts w:ascii="arial" w:hAnsi="arial"/>
          <w:sz w:val="20"/>
        </w:rPr>
      </w:pPr>
      <w:r>
        <w:rPr>
          <w:rFonts w:ascii="arial" w:hAnsi="arial"/>
          <w:sz w:val="20"/>
        </w:rPr>
        <w:t xml:space="preserve">There are no family relationships among any of our executive officers or directors. </w:t>
      </w:r>
    </w:p>
    <w:p>
      <w:pPr>
        <w:pStyle w:val="TextBody"/>
        <w:bidi w:val="0"/>
        <w:spacing w:before="320" w:after="0"/>
        <w:jc w:val="left"/>
        <w:rPr>
          <w:rFonts w:ascii="arial" w:hAnsi="arial"/>
          <w:b/>
          <w:sz w:val="24"/>
        </w:rPr>
      </w:pPr>
      <w:r>
        <w:rPr>
          <w:rFonts w:ascii="arial" w:hAnsi="arial"/>
          <w:b/>
          <w:sz w:val="24"/>
        </w:rPr>
        <w:t xml:space="preserve">Composition of our board of directors </w:t>
      </w:r>
    </w:p>
    <w:p>
      <w:pPr>
        <w:pStyle w:val="TextBody"/>
        <w:bidi w:val="0"/>
        <w:spacing w:before="160" w:after="0"/>
        <w:jc w:val="left"/>
        <w:rPr>
          <w:rFonts w:ascii="arial" w:hAnsi="arial"/>
          <w:sz w:val="20"/>
        </w:rPr>
      </w:pPr>
      <w:r>
        <w:rPr>
          <w:rFonts w:ascii="arial" w:hAnsi="arial"/>
          <w:sz w:val="20"/>
        </w:rPr>
        <w:t xml:space="preserve">Our business and affairs are organized under the direction of our board of directors, which currently consists of six members with two vacancies. The primary responsibilities of our board of directors are to provide oversight,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strategic guidance, counseling and direction to our management. Our board of directors meets on a regular basis and additionally as required. </w:t>
      </w:r>
    </w:p>
    <w:p>
      <w:pPr>
        <w:pStyle w:val="TextBody"/>
        <w:bidi w:val="0"/>
        <w:spacing w:before="160" w:after="0"/>
        <w:jc w:val="left"/>
        <w:rPr>
          <w:rFonts w:ascii="arial" w:hAnsi="arial"/>
          <w:sz w:val="20"/>
        </w:rPr>
      </w:pPr>
      <w:r>
        <w:rPr>
          <w:rFonts w:ascii="arial" w:hAnsi="arial"/>
          <w:sz w:val="20"/>
        </w:rPr>
        <w:t xml:space="preserve">In connection with closing of the Convertible Notes financing, our existing amended and restated certificate of incorporation was amended, whereby our board of directors was restructured to consist of (i) three directors elected by a majority of the preferred stockholders (voting together as a singled class), currently Ian Ratcliffe, Nicholas Naclerio, Ph.D. and one vacancy, (ii) two directors elected by a majority of the Class A common stockholders (voting together as a single class), currently Yuling Luo, Ph.D. and Shiping “Steve” Chen, Ph.D., and (iii) three independent directors elected by a majority of the common stockholders, founders preferred stockholders and preferred stockholders (voting together as a single class), currently Rebecca Chambers and one vacancy. </w:t>
      </w:r>
    </w:p>
    <w:p>
      <w:pPr>
        <w:pStyle w:val="TextBody"/>
        <w:bidi w:val="0"/>
        <w:spacing w:before="160" w:after="0"/>
        <w:jc w:val="left"/>
        <w:rPr>
          <w:rFonts w:ascii="arial" w:hAnsi="arial"/>
          <w:sz w:val="20"/>
        </w:rPr>
      </w:pPr>
      <w:r>
        <w:rPr>
          <w:rFonts w:ascii="arial" w:hAnsi="arial"/>
          <w:sz w:val="20"/>
        </w:rPr>
        <w:t xml:space="preserve">Certain members of our board of directors were elected under the provisions of our amended and restated voting agreement (the “Voting Agreement”), which was amended and restated in connection with the closing of the Convertible Notes financing and will terminate upon the closing of this offering. Under the terms of our Voting Agreement, the stockholders who are party to the Voting Agreement have agreed to vote their respective shares to elect: (i) one director designated by Illumina Ventures, currently Nicholas Naclerio, Ph.D.; (ii) one director designated by Sands Capital Ventures Life Sciences Pulse Fund II, L.P., currently Ian Ratcliffe; (iii) one director designated by Sherpa Healthcare Partners Fund II, L.P., which designation right terminated at the public filing of the registration statement of which this prospectus forms a part; and provided, further, that if we do not complete this offering within 60 days of such public filing, then this designation right shall be reinstated); (iv) two directors nominated by the holders of a majority of the then outstanding shares of Class A common stock who are then providing services to the Company as employees or consultants in good standing, currently Yuling Luo, Ph.D. and Shiping “Steve” Chen, Ph.D.; and (v) three directors designated by the holders of a majority of the then-outstanding shares of Class A common stock, Class B common stock, Founder Preferred Stock and convertible preferred stock (voting together as a single class), currently Rebecca Chambers, Frank R. Witney, Ph.D. and one vacancy. The Voting Agreement will terminate upon the closing of this offering, and upon the closing of the offering no stockholder will have any special rights regarding the election or designation of the members of our board of directors. Our current directors elected pursuant to the Voting Agreement will continue to serve as directors until their successors are duly elected and qualified by holders of our common stock. </w:t>
      </w:r>
    </w:p>
    <w:p>
      <w:pPr>
        <w:pStyle w:val="TextBody"/>
        <w:bidi w:val="0"/>
        <w:spacing w:before="160" w:after="0"/>
        <w:jc w:val="left"/>
        <w:rPr>
          <w:rFonts w:ascii="arial" w:hAnsi="arial"/>
          <w:sz w:val="20"/>
        </w:rPr>
      </w:pPr>
      <w:r>
        <w:rPr>
          <w:rFonts w:ascii="arial" w:hAnsi="arial"/>
          <w:sz w:val="20"/>
        </w:rPr>
        <w:t xml:space="preserve">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Class I directors will be Nicholas Naclerio, Ph.D. and Ian W. Ratcliffe, and their terms will expire at the annual meeting of stockholders to be held in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Class II directors will be Rebecca Chambers and Shiping Chen, Ph.D., and their terms will expire at the annual meeting of stockholders to be held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Class III directors will be Yuling Luo, Ph.D., and Frank R. Witney, Ph.D., and their terms will expire at the annual meeting of stockholders to be held in 2029. </w:t>
            </w:r>
          </w:p>
        </w:tc>
      </w:tr>
    </w:tbl>
    <w:p>
      <w:pPr>
        <w:pStyle w:val="TextBody"/>
        <w:bidi w:val="0"/>
        <w:spacing w:before="160" w:after="0"/>
        <w:jc w:val="left"/>
        <w:rPr>
          <w:rFonts w:ascii="arial" w:hAnsi="arial"/>
          <w:sz w:val="20"/>
        </w:rPr>
      </w:pPr>
      <w:r>
        <w:rPr>
          <w:rFonts w:ascii="arial" w:hAnsi="arial"/>
          <w:sz w:val="20"/>
        </w:rPr>
        <w:t xml:space="preserve">We expect that any additional directorships resulting from an increase in the number of directors will be distributed among the three classes so that, as nearly as possible, each class will consist of one third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directors. The division of our board of directors into three classes with staggered three-year terms may delay or prevent a change of our management or a change in control. </w:t>
      </w:r>
    </w:p>
    <w:p>
      <w:pPr>
        <w:pStyle w:val="TextBody"/>
        <w:bidi w:val="0"/>
        <w:spacing w:before="320" w:after="0"/>
        <w:jc w:val="left"/>
        <w:rPr>
          <w:rFonts w:ascii="arial" w:hAnsi="arial"/>
          <w:b/>
          <w:sz w:val="24"/>
        </w:rPr>
      </w:pPr>
      <w:r>
        <w:rPr>
          <w:rFonts w:ascii="arial" w:hAnsi="arial"/>
          <w:b/>
          <w:sz w:val="24"/>
        </w:rPr>
        <w:t xml:space="preserve">Director independence </w:t>
      </w:r>
    </w:p>
    <w:p>
      <w:pPr>
        <w:pStyle w:val="TextBody"/>
        <w:bidi w:val="0"/>
        <w:spacing w:before="160" w:after="0"/>
        <w:jc w:val="left"/>
        <w:rPr>
          <w:rFonts w:ascii="arial" w:hAnsi="arial"/>
          <w:sz w:val="20"/>
        </w:rPr>
      </w:pPr>
      <w:r>
        <w:rPr>
          <w:rFonts w:ascii="arial" w:hAnsi="arial"/>
          <w:sz w:val="20"/>
        </w:rPr>
        <w:t xml:space="preserve">Under the listing requirements and rules of The Nasdaq Stock Market LLC (the “Nasdaq Listing Rules”), independent directors must comprise a majority of our board of directors as a listed company within one year of the listing date. </w:t>
      </w:r>
    </w:p>
    <w:p>
      <w:pPr>
        <w:pStyle w:val="TextBody"/>
        <w:bidi w:val="0"/>
        <w:spacing w:before="160" w:after="0"/>
        <w:jc w:val="left"/>
        <w:rPr>
          <w:rFonts w:ascii="arial" w:hAnsi="arial"/>
          <w:sz w:val="20"/>
        </w:rPr>
      </w:pPr>
      <w:r>
        <w:rPr>
          <w:rFonts w:ascii="arial" w:hAnsi="arial"/>
          <w:sz w:val="20"/>
        </w:rPr>
        <w:t xml:space="preserve">Our board of directors has undertaken a review of the independence of each director. Based on information provided by each director concerning her or his background, employment and affiliations, including family relationships, our board of directors has determined that none of our directors, other than Yuling Luo, Ph.D., and Shiping “Steve” Chen, Ph.D., has any relationship that would interfere with the exercise of independent judgment in carrying out the responsibilities of a director and that each of these directors is “independent” as that term is defined under the Nasdaq Listing Rules. Our board of directors has determined that Yuling Luo, Ph.D., by virtue of his position as our Chief Executive Officer, and Shiping “Steve” Chen, Ph.D., by virtue of his position as our Chief Operating Officer, is not independent under applicable rules and regulations of the U.S. Securities and Exchange Commission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 </w:t>
      </w:r>
    </w:p>
    <w:p>
      <w:pPr>
        <w:pStyle w:val="TextBody"/>
        <w:bidi w:val="0"/>
        <w:spacing w:before="320" w:after="0"/>
        <w:jc w:val="left"/>
        <w:rPr>
          <w:rFonts w:ascii="arial" w:hAnsi="arial"/>
          <w:b/>
          <w:sz w:val="24"/>
        </w:rPr>
      </w:pPr>
      <w:r>
        <w:rPr>
          <w:rFonts w:ascii="arial" w:hAnsi="arial"/>
          <w:b/>
          <w:sz w:val="24"/>
        </w:rPr>
        <w:t xml:space="preserve">Board leadership structure </w:t>
      </w:r>
    </w:p>
    <w:p>
      <w:pPr>
        <w:pStyle w:val="TextBody"/>
        <w:bidi w:val="0"/>
        <w:spacing w:before="160" w:after="0"/>
        <w:jc w:val="left"/>
        <w:rPr>
          <w:rFonts w:ascii="arial" w:hAnsi="arial"/>
          <w:sz w:val="20"/>
        </w:rPr>
      </w:pPr>
      <w:r>
        <w:rPr>
          <w:rFonts w:ascii="arial" w:hAnsi="arial"/>
          <w:sz w:val="20"/>
        </w:rPr>
        <w:t xml:space="preserve">Our board of directors maintains the flexibility to determine whether the roles of Chairman and Chief Executive Officer should be combined or separated, based on what it believes is in the best interests of our company at a given point in time. Our board of directors believes that this flexibility is in the best interest of our company and that a one-size-fits-all approach to corporate governance, with a mandated independent Chairman, would not result in better governance or oversight. </w:t>
      </w:r>
    </w:p>
    <w:p>
      <w:pPr>
        <w:pStyle w:val="TextBody"/>
        <w:bidi w:val="0"/>
        <w:spacing w:before="160" w:after="0"/>
        <w:jc w:val="left"/>
        <w:rPr>
          <w:rFonts w:ascii="arial" w:hAnsi="arial"/>
          <w:sz w:val="20"/>
        </w:rPr>
      </w:pPr>
      <w:r>
        <w:rPr>
          <w:rFonts w:ascii="arial" w:hAnsi="arial"/>
          <w:sz w:val="20"/>
        </w:rPr>
        <w:t xml:space="preserve">At this time, our board of directors believes that our current Chief Executive Officer is best situated to serve as Chairman of our board of directors. Dr. Luo is highly knowledgeable and has long-standing experience with respect to our business, operations and industry and ongoing executive responsibility for our company. Dr. Luo is well positioned to identify strategic priorities and lead our board of directors’ consideration and analysis of such priorities. In addition, Dr. Luo offers a robust understanding of the risks facing our company. In our board of directors’ view, this enables our board of directors to better understand our company and work with management to enhance stockholder value. In addition, board of directors believes that this structure enables it to better fulfill its risk oversight responsibilities and enhances the ability of the Chief Executive Officer to effectively communicate the board of directors’ view to management. </w:t>
      </w:r>
    </w:p>
    <w:p>
      <w:pPr>
        <w:pStyle w:val="TextBody"/>
        <w:bidi w:val="0"/>
        <w:spacing w:before="160" w:after="0"/>
        <w:jc w:val="left"/>
        <w:rPr>
          <w:rFonts w:ascii="arial" w:hAnsi="arial"/>
          <w:sz w:val="20"/>
        </w:rPr>
      </w:pPr>
      <w:r>
        <w:rPr>
          <w:rFonts w:ascii="arial" w:hAnsi="arial"/>
          <w:sz w:val="20"/>
        </w:rPr>
        <w:t xml:space="preserve">Our board of directors appointed Frank R. Witney, Ph.D. as the lead independent director in April 2026 to help reinforce the independence of our board of directors as a whole. The position of lead independent director has been structured to serve as an effective balance to a combined Chief Executive Officer/ Chairman: the lead independent director is empowered to, among other duties and responsibilities, preside over board of directors meetings in the absence of the Chairman, act as liaison between the Chairman and the independent directors, preside over meetings of the independent directors and consult with the Chairman in planning and setting schedules and agendas for board of directors meetings to be held during the year. As a result, we believe that the lead independent director can help ensure the effective independent functioning of our board of directors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its oversight responsibilities. In addition, we believe that the lead independent director is better positioned to build a consensus among directors and to serve as a conduit between the other independent directors and the Chairman, for example, by facilitating the inclusion on meeting agendas of matters of concern to the independent directors. </w:t>
      </w:r>
    </w:p>
    <w:p>
      <w:pPr>
        <w:pStyle w:val="TextBody"/>
        <w:bidi w:val="0"/>
        <w:spacing w:before="320" w:after="0"/>
        <w:jc w:val="left"/>
        <w:rPr>
          <w:rFonts w:ascii="arial" w:hAnsi="arial"/>
          <w:b/>
          <w:sz w:val="24"/>
        </w:rPr>
      </w:pPr>
      <w:r>
        <w:rPr>
          <w:rFonts w:ascii="arial" w:hAnsi="arial"/>
          <w:b/>
          <w:sz w:val="24"/>
        </w:rPr>
        <w:t xml:space="preserve">Role of board in risk oversight </w:t>
      </w:r>
    </w:p>
    <w:p>
      <w:pPr>
        <w:pStyle w:val="TextBody"/>
        <w:bidi w:val="0"/>
        <w:spacing w:before="160" w:after="0"/>
        <w:jc w:val="left"/>
        <w:rPr>
          <w:rFonts w:ascii="arial" w:hAnsi="arial"/>
          <w:sz w:val="20"/>
        </w:rPr>
      </w:pPr>
      <w:r>
        <w:rPr>
          <w:rFonts w:ascii="arial" w:hAnsi="arial"/>
          <w:sz w:val="20"/>
        </w:rPr>
        <w:t xml:space="preserve">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 </w:t>
      </w:r>
    </w:p>
    <w:p>
      <w:pPr>
        <w:pStyle w:val="TextBody"/>
        <w:bidi w:val="0"/>
        <w:spacing w:before="320" w:after="0"/>
        <w:jc w:val="left"/>
        <w:rPr>
          <w:rFonts w:ascii="arial" w:hAnsi="arial"/>
          <w:b/>
          <w:sz w:val="24"/>
        </w:rPr>
      </w:pPr>
      <w:r>
        <w:rPr>
          <w:rFonts w:ascii="arial" w:hAnsi="arial"/>
          <w:b/>
          <w:sz w:val="24"/>
        </w:rPr>
        <w:t xml:space="preserve">Committees of our board of directors </w:t>
      </w:r>
    </w:p>
    <w:p>
      <w:pPr>
        <w:pStyle w:val="TextBody"/>
        <w:bidi w:val="0"/>
        <w:spacing w:before="160" w:after="0"/>
        <w:jc w:val="left"/>
        <w:rPr>
          <w:rFonts w:ascii="arial" w:hAnsi="arial"/>
          <w:sz w:val="20"/>
        </w:rPr>
      </w:pPr>
      <w:r>
        <w:rPr>
          <w:rFonts w:ascii="arial" w:hAnsi="arial"/>
          <w:sz w:val="20"/>
        </w:rPr>
        <w:t xml:space="preserve">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www.alamarbio.com upon the closing of this offering. Our board of directors may establish other committees as it deems necessary or appropriate from time to time. </w:t>
      </w:r>
    </w:p>
    <w:p>
      <w:pPr>
        <w:pStyle w:val="TextBody"/>
        <w:bidi w:val="0"/>
        <w:spacing w:before="320" w:after="0"/>
        <w:jc w:val="left"/>
        <w:rPr>
          <w:rFonts w:ascii="arial" w:hAnsi="arial"/>
          <w:b/>
          <w:i/>
          <w:sz w:val="20"/>
        </w:rPr>
      </w:pPr>
      <w:r>
        <w:rPr>
          <w:rFonts w:ascii="arial" w:hAnsi="arial"/>
          <w:b/>
          <w:i/>
          <w:sz w:val="20"/>
        </w:rPr>
        <w:t xml:space="preserve">Audit committee </w:t>
      </w:r>
    </w:p>
    <w:p>
      <w:pPr>
        <w:pStyle w:val="TextBody"/>
        <w:bidi w:val="0"/>
        <w:spacing w:before="160" w:after="0"/>
        <w:jc w:val="left"/>
        <w:rPr>
          <w:rFonts w:ascii="arial" w:hAnsi="arial"/>
          <w:sz w:val="20"/>
        </w:rPr>
      </w:pPr>
      <w:r>
        <w:rPr>
          <w:rFonts w:ascii="arial" w:hAnsi="arial"/>
          <w:sz w:val="20"/>
        </w:rPr>
        <w:t xml:space="preserve">Our audit committee currently consists of Rebecca Chambers, Ian W. Ratcliffe and Frank R. Witney, Ph.D., each of whom our board of directors has determined satisfies the independence requirements under the Nasdaq Listing Rules and Rule 10A-3(b)(1) of the Exchange Act. The chair of our audit committee is Rebecca Chambers,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w:t>
      </w:r>
    </w:p>
    <w:p>
      <w:pPr>
        <w:pStyle w:val="TextBody"/>
        <w:bidi w:val="0"/>
        <w:spacing w:before="160" w:after="0"/>
        <w:jc w:val="left"/>
        <w:rPr>
          <w:rFonts w:ascii="arial" w:hAnsi="arial"/>
          <w:sz w:val="20"/>
        </w:rPr>
      </w:pPr>
      <w:r>
        <w:rPr>
          <w:rFonts w:ascii="arial" w:hAnsi="arial"/>
          <w:sz w:val="20"/>
        </w:rPr>
        <w:t xml:space="preserve">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managing the selection, engagement, qualifications, independence and performance of a qualified firm to serve as the independent registered public accounting firm to audit our consolidated financial statements;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approving, or, as permitted, pre-approving, audit and permissible non-audit services to be performed by the independent registered public accounting firm. </w:t>
            </w:r>
          </w:p>
        </w:tc>
      </w:tr>
    </w:tbl>
    <w:p>
      <w:pPr>
        <w:pStyle w:val="TextBody"/>
        <w:bidi w:val="0"/>
        <w:spacing w:before="320" w:after="0"/>
        <w:jc w:val="left"/>
        <w:rPr>
          <w:rFonts w:ascii="arial" w:hAnsi="arial"/>
          <w:b/>
          <w:i/>
          <w:sz w:val="20"/>
        </w:rPr>
      </w:pPr>
      <w:r>
        <w:rPr>
          <w:rFonts w:ascii="arial" w:hAnsi="arial"/>
          <w:b/>
          <w:i/>
          <w:sz w:val="20"/>
        </w:rPr>
        <w:t xml:space="preserve">Compensation committee </w:t>
      </w:r>
    </w:p>
    <w:p>
      <w:pPr>
        <w:pStyle w:val="TextBody"/>
        <w:bidi w:val="0"/>
        <w:spacing w:before="160" w:after="0"/>
        <w:jc w:val="left"/>
        <w:rPr>
          <w:rFonts w:ascii="arial" w:hAnsi="arial"/>
          <w:sz w:val="20"/>
        </w:rPr>
      </w:pPr>
      <w:r>
        <w:rPr>
          <w:rFonts w:ascii="arial" w:hAnsi="arial"/>
          <w:sz w:val="20"/>
        </w:rPr>
        <w:t xml:space="preserve">Our compensation committee currently consists of Frank R. Witney, Ph.D., Rebecca Chambers and Nicholas Naclerio, Ph.D. The chair of our compensation committee is Frank R. Witney. Our board of directors has determined that each member of our compensation committee is independent under the Nasdaq Listing Rules. </w:t>
      </w:r>
    </w:p>
    <w:p>
      <w:pPr>
        <w:pStyle w:val="TextBody"/>
        <w:bidi w:val="0"/>
        <w:spacing w:before="160" w:after="0"/>
        <w:jc w:val="left"/>
        <w:rPr>
          <w:rFonts w:ascii="arial" w:hAnsi="arial"/>
          <w:sz w:val="20"/>
        </w:rPr>
      </w:pPr>
      <w:r>
        <w:rPr>
          <w:rFonts w:ascii="arial" w:hAnsi="arial"/>
          <w:sz w:val="20"/>
        </w:rPr>
        <w:t xml:space="preserve">The primary purpose of our compensation committee is to discharge the responsibilities of our board of directors in overseeing our compensation policies, plans and programs and to review and determine the compensation to be paid to our executive officers and directors. Specific responsibilities of our compensation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approving the compensation of our chief executive officer, other executive officers and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recommending to our board of directors the compensation paid to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approving the compensation arrangements with our executive officers and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administering our equity incentive plans and other benefit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evaluating and recommending to our board of directors succession plans for our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establishing general policies relating to compensation and benefits of our employees, including our overall compensation strategy, including base salary, incentive compensation and equity based grants, to assure that it promotes stockholder interests and supports our strategic and tactical objectives, and that it provides for appropriate rewards and incentives for our management and employees. </w:t>
            </w:r>
          </w:p>
        </w:tc>
      </w:tr>
    </w:tbl>
    <w:p>
      <w:pPr>
        <w:pStyle w:val="TextBody"/>
        <w:bidi w:val="0"/>
        <w:spacing w:before="320" w:after="0"/>
        <w:jc w:val="left"/>
        <w:rPr>
          <w:rFonts w:ascii="arial" w:hAnsi="arial"/>
          <w:b/>
          <w:i/>
          <w:sz w:val="20"/>
        </w:rPr>
      </w:pPr>
      <w:r>
        <w:rPr>
          <w:rFonts w:ascii="arial" w:hAnsi="arial"/>
          <w:b/>
          <w:i/>
          <w:sz w:val="20"/>
        </w:rPr>
        <w:t xml:space="preserve">Nominating and corporate governance committee </w:t>
      </w:r>
    </w:p>
    <w:p>
      <w:pPr>
        <w:pStyle w:val="TextBody"/>
        <w:bidi w:val="0"/>
        <w:spacing w:before="160" w:after="0"/>
        <w:jc w:val="left"/>
        <w:rPr>
          <w:rFonts w:ascii="arial" w:hAnsi="arial"/>
          <w:sz w:val="20"/>
        </w:rPr>
      </w:pPr>
      <w:r>
        <w:rPr>
          <w:rFonts w:ascii="arial" w:hAnsi="arial"/>
          <w:sz w:val="20"/>
        </w:rPr>
        <w:t xml:space="preserve">Our nominating and corporate governance committee consists of Frank R. Witney, Ph.D., Rebecca Chambers and Nicholas Naclerio, Ph.D. The chair of our nominating and corporate governance committee is Nicholas Naclerio, Ph.D. Our board of directors has determined that each member of the nominating and corporate governance committee is independent under the Nasdaq Listing Rules.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Specific responsibilities of our nominating and corporate governance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identifying and evaluating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considering and making recommendations to our board of directors regarding the composition and chairmanship of the committees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instituting plans or programs for the continuing education of our board of directors and orientation of new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developing and making recommendations to our board of directors regarding corporate governance guidelines and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overseeing periodic evaluations of the board of directors’ performance, including committees of the board of directors and management. </w:t>
            </w:r>
          </w:p>
        </w:tc>
      </w:tr>
    </w:tbl>
    <w:p>
      <w:pPr>
        <w:pStyle w:val="TextBody"/>
        <w:bidi w:val="0"/>
        <w:spacing w:before="320" w:after="0"/>
        <w:jc w:val="left"/>
        <w:rPr>
          <w:rFonts w:ascii="arial" w:hAnsi="arial"/>
          <w:b/>
          <w:sz w:val="24"/>
        </w:rPr>
      </w:pPr>
      <w:r>
        <w:rPr>
          <w:rFonts w:ascii="arial" w:hAnsi="arial"/>
          <w:b/>
          <w:sz w:val="24"/>
        </w:rPr>
        <w:t xml:space="preserve">Code of business conduct and ethics </w:t>
      </w:r>
    </w:p>
    <w:p>
      <w:pPr>
        <w:pStyle w:val="TextBody"/>
        <w:bidi w:val="0"/>
        <w:spacing w:before="160" w:after="0"/>
        <w:jc w:val="left"/>
        <w:rPr>
          <w:rFonts w:ascii="arial" w:hAnsi="arial"/>
          <w:sz w:val="20"/>
        </w:rPr>
      </w:pPr>
      <w:r>
        <w:rPr>
          <w:rFonts w:ascii="arial" w:hAnsi="arial"/>
          <w:sz w:val="20"/>
        </w:rPr>
        <w:t xml:space="preserve">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www.alamarbio.com upon the closing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 </w:t>
      </w:r>
    </w:p>
    <w:p>
      <w:pPr>
        <w:pStyle w:val="TextBody"/>
        <w:bidi w:val="0"/>
        <w:spacing w:before="320" w:after="0"/>
        <w:jc w:val="left"/>
        <w:rPr>
          <w:rFonts w:ascii="arial" w:hAnsi="arial"/>
          <w:b/>
          <w:sz w:val="24"/>
        </w:rPr>
      </w:pPr>
      <w:r>
        <w:rPr>
          <w:rFonts w:ascii="arial" w:hAnsi="arial"/>
          <w:b/>
          <w:sz w:val="24"/>
        </w:rPr>
        <w:t xml:space="preserve">Compensation committee interlocks and insider participation </w:t>
      </w:r>
    </w:p>
    <w:p>
      <w:pPr>
        <w:pStyle w:val="TextBody"/>
        <w:bidi w:val="0"/>
        <w:spacing w:before="160" w:after="0"/>
        <w:jc w:val="left"/>
        <w:rPr>
          <w:rFonts w:ascii="arial" w:hAnsi="arial"/>
          <w:sz w:val="20"/>
        </w:rPr>
      </w:pPr>
      <w:r>
        <w:rPr>
          <w:rFonts w:ascii="arial" w:hAnsi="arial"/>
          <w:sz w:val="20"/>
        </w:rPr>
        <w:t xml:space="preserve">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7" w:name="toc39680_12"/>
      <w:bookmarkEnd w:id="17"/>
      <w:r>
        <w:rPr>
          <w:rFonts w:ascii="arial" w:hAnsi="arial"/>
          <w:b/>
          <w:sz w:val="32"/>
        </w:rPr>
        <w:t xml:space="preserve">Executive and director compensation </w:t>
      </w:r>
    </w:p>
    <w:p>
      <w:pPr>
        <w:pStyle w:val="TextBody"/>
        <w:bidi w:val="0"/>
        <w:spacing w:before="160" w:after="0"/>
        <w:jc w:val="left"/>
        <w:rPr>
          <w:rFonts w:ascii="arial" w:hAnsi="arial"/>
          <w:b/>
          <w:sz w:val="24"/>
        </w:rPr>
      </w:pPr>
      <w:r>
        <w:rPr>
          <w:rFonts w:ascii="arial" w:hAnsi="arial"/>
          <w:b/>
          <w:sz w:val="24"/>
        </w:rPr>
        <w:t xml:space="preserve">Executive and director compensation </w:t>
      </w:r>
    </w:p>
    <w:p>
      <w:pPr>
        <w:pStyle w:val="TextBody"/>
        <w:bidi w:val="0"/>
        <w:spacing w:before="160" w:after="0"/>
        <w:jc w:val="left"/>
        <w:rPr>
          <w:rFonts w:ascii="arial" w:hAnsi="arial"/>
          <w:sz w:val="20"/>
        </w:rPr>
      </w:pPr>
      <w:r>
        <w:rPr>
          <w:rFonts w:ascii="arial" w:hAnsi="arial"/>
          <w:sz w:val="20"/>
        </w:rPr>
        <w:t xml:space="preserve">Our named executive officers for the year ended December 31, 2025,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Yuling Luo, Ph.D., our Co-founder, Chief Executive Officer, and Chairman; </w:t>
            </w:r>
          </w:p>
        </w:tc>
      </w:tr>
    </w:tbl>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Justin McAnear, our Chief Financial Officer; and </w:t>
            </w:r>
          </w:p>
        </w:tc>
      </w:tr>
    </w:tbl>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Shiping “Steve” Chen, Ph.D., our Co-founder, Chief Operating Officer, and member of our board of directors. </w:t>
            </w:r>
          </w:p>
        </w:tc>
      </w:tr>
    </w:tbl>
    <w:p>
      <w:pPr>
        <w:pStyle w:val="TextBody"/>
        <w:bidi w:val="0"/>
        <w:spacing w:before="160" w:after="0"/>
        <w:jc w:val="left"/>
        <w:rPr>
          <w:rFonts w:ascii="arial" w:hAnsi="arial"/>
          <w:b/>
          <w:sz w:val="24"/>
        </w:rPr>
      </w:pPr>
      <w:r>
        <w:rPr>
          <w:rFonts w:ascii="arial" w:hAnsi="arial"/>
          <w:b/>
          <w:sz w:val="24"/>
        </w:rPr>
        <w:t xml:space="preserve">Summary compensation table for the year ended December 31, 2025 </w:t>
      </w:r>
    </w:p>
    <w:p>
      <w:pPr>
        <w:pStyle w:val="TextBody"/>
        <w:bidi w:val="0"/>
        <w:spacing w:before="160" w:after="0"/>
        <w:jc w:val="left"/>
        <w:rPr>
          <w:rFonts w:ascii="arial" w:hAnsi="arial"/>
          <w:sz w:val="20"/>
        </w:rPr>
      </w:pPr>
      <w:r>
        <w:rPr>
          <w:rFonts w:ascii="arial" w:hAnsi="arial"/>
          <w:sz w:val="20"/>
        </w:rPr>
        <w:t xml:space="preserve">The following table presents all of the compensation awarded to our named executive officers during the year ended December 31, 2025. </w:t>
      </w:r>
    </w:p>
    <w:p>
      <w:pPr>
        <w:pStyle w:val="TextBody"/>
        <w:bidi w:val="0"/>
        <w:spacing w:before="0" w:after="0"/>
        <w:jc w:val="left"/>
        <w:rPr/>
      </w:pPr>
      <w:r>
        <w:rPr/>
        <w:t> </w:t>
      </w:r>
    </w:p>
    <w:tbl>
      <w:tblPr>
        <w:tblW w:w="10985" w:type="dxa"/>
        <w:jc w:val="center"/>
        <w:tblInd w:w="0" w:type="dxa"/>
        <w:tblLayout w:type="fixed"/>
        <w:tblCellMar>
          <w:top w:w="0" w:type="dxa"/>
          <w:left w:w="0" w:type="dxa"/>
          <w:bottom w:w="0" w:type="dxa"/>
          <w:right w:w="0" w:type="dxa"/>
        </w:tblCellMar>
      </w:tblPr>
      <w:tblGrid>
        <w:gridCol w:w="1025"/>
        <w:gridCol w:w="60"/>
        <w:gridCol w:w="60"/>
        <w:gridCol w:w="500"/>
        <w:gridCol w:w="60"/>
        <w:gridCol w:w="60"/>
        <w:gridCol w:w="60"/>
        <w:gridCol w:w="800"/>
        <w:gridCol w:w="350"/>
        <w:gridCol w:w="60"/>
        <w:gridCol w:w="60"/>
        <w:gridCol w:w="800"/>
        <w:gridCol w:w="350"/>
        <w:gridCol w:w="60"/>
        <w:gridCol w:w="75"/>
        <w:gridCol w:w="1235"/>
        <w:gridCol w:w="60"/>
        <w:gridCol w:w="60"/>
        <w:gridCol w:w="136"/>
        <w:gridCol w:w="1819"/>
        <w:gridCol w:w="60"/>
        <w:gridCol w:w="60"/>
        <w:gridCol w:w="189"/>
        <w:gridCol w:w="1766"/>
        <w:gridCol w:w="60"/>
        <w:gridCol w:w="60"/>
        <w:gridCol w:w="60"/>
        <w:gridCol w:w="980"/>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5" w:type="dxa"/>
            <w:tcBorders>
              <w:top w:val="single" w:sz="16" w:space="0" w:color="000000"/>
            </w:tcBorders>
            <w:tcMar>
              <w:top w:w="28" w:type="dxa"/>
            </w:tcMar>
            <w:vAlign w:val="center"/>
          </w:tcPr>
          <w:p>
            <w:pPr>
              <w:pStyle w:val="TableContents"/>
              <w:bidi w:val="0"/>
              <w:spacing w:before="0" w:after="283"/>
              <w:jc w:val="left"/>
              <w:rPr/>
            </w:pPr>
            <w:r>
              <w:rPr/>
              <w:t> </w:t>
            </w:r>
          </w:p>
        </w:tc>
        <w:tc>
          <w:tcPr>
            <w:tcW w:w="6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7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7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6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025" w:type="dxa"/>
            <w:tcBorders>
              <w:bottom w:val="single" w:sz="2" w:space="0" w:color="000000"/>
            </w:tcBorders>
            <w:tcMar>
              <w:bottom w:w="60" w:type="dxa"/>
            </w:tcMar>
            <w:vAlign w:val="bottom"/>
          </w:tcPr>
          <w:p>
            <w:pPr>
              <w:pStyle w:val="TableContents"/>
              <w:bidi w:val="0"/>
              <w:spacing w:before="0" w:after="283"/>
              <w:jc w:val="left"/>
              <w:rPr>
                <w:b/>
              </w:rPr>
            </w:pPr>
            <w:r>
              <w:rPr>
                <w:b/>
              </w:rPr>
              <w:t>Name and principal position</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2" w:space="0" w:color="000000"/>
            </w:tcBorders>
            <w:tcMar>
              <w:bottom w:w="60" w:type="dxa"/>
            </w:tcMar>
            <w:vAlign w:val="bottom"/>
          </w:tcPr>
          <w:p>
            <w:pPr>
              <w:pStyle w:val="TableContents"/>
              <w:bidi w:val="0"/>
              <w:spacing w:before="0" w:after="283"/>
              <w:jc w:val="right"/>
              <w:rPr>
                <w:b/>
              </w:rPr>
            </w:pPr>
            <w:r>
              <w:rPr>
                <w:b/>
              </w:rPr>
              <w:t>Year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60" w:type="dxa"/>
            </w:tcMar>
            <w:vAlign w:val="bottom"/>
          </w:tcPr>
          <w:p>
            <w:pPr>
              <w:pStyle w:val="TableContents"/>
              <w:bidi w:val="0"/>
              <w:spacing w:before="0" w:after="283"/>
              <w:jc w:val="right"/>
              <w:rPr>
                <w:b/>
              </w:rPr>
            </w:pPr>
            <w:r>
              <w:rPr>
                <w:b/>
              </w:rPr>
              <w:t>Salary($)</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60" w:type="dxa"/>
            </w:tcMar>
            <w:vAlign w:val="bottom"/>
          </w:tcPr>
          <w:p>
            <w:pPr>
              <w:pStyle w:val="TableContents"/>
              <w:bidi w:val="0"/>
              <w:spacing w:before="0" w:after="283"/>
              <w:jc w:val="right"/>
              <w:rPr>
                <w:b/>
              </w:rPr>
            </w:pPr>
            <w:r>
              <w:rPr>
                <w:b/>
              </w:rPr>
              <w:t>Bonus($)</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awards(1)($)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55" w:type="dxa"/>
            <w:gridSpan w:val="2"/>
            <w:tcBorders>
              <w:bottom w:val="single" w:sz="2" w:space="0" w:color="000000"/>
            </w:tcBorders>
            <w:tcMar>
              <w:bottom w:w="60" w:type="dxa"/>
            </w:tcMar>
            <w:vAlign w:val="bottom"/>
          </w:tcPr>
          <w:p>
            <w:pPr>
              <w:pStyle w:val="TableContents"/>
              <w:bidi w:val="0"/>
              <w:spacing w:before="0" w:after="283"/>
              <w:jc w:val="right"/>
              <w:rPr>
                <w:b/>
              </w:rPr>
            </w:pPr>
            <w:r>
              <w:rPr>
                <w:b/>
              </w:rPr>
              <w:t>Non-equity</w:t>
              <w:br/>
              <w:t>incentive plan</w:t>
              <w:br/>
              <w:t>compensation(2)($)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55" w:type="dxa"/>
            <w:gridSpan w:val="2"/>
            <w:tcBorders>
              <w:bottom w:val="single" w:sz="2" w:space="0" w:color="000000"/>
            </w:tcBorders>
            <w:tcMar>
              <w:bottom w:w="60" w:type="dxa"/>
            </w:tcMar>
            <w:vAlign w:val="bottom"/>
          </w:tcPr>
          <w:p>
            <w:pPr>
              <w:pStyle w:val="TableContents"/>
              <w:bidi w:val="0"/>
              <w:spacing w:before="0" w:after="283"/>
              <w:jc w:val="right"/>
              <w:rPr>
                <w:b/>
              </w:rPr>
            </w:pPr>
            <w:r>
              <w:rPr>
                <w:b/>
              </w:rPr>
              <w:t>All other</w:t>
              <w:br/>
              <w:t>compensation(3)($)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60" w:type="dxa"/>
            </w:tcMar>
            <w:vAlign w:val="bottom"/>
          </w:tcPr>
          <w:p>
            <w:pPr>
              <w:pStyle w:val="TableContents"/>
              <w:bidi w:val="0"/>
              <w:spacing w:before="0" w:after="283"/>
              <w:jc w:val="right"/>
              <w:rPr>
                <w:b/>
              </w:rPr>
            </w:pPr>
            <w:r>
              <w:rPr>
                <w:b/>
              </w:rPr>
              <w:t>Total($)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jc w:val="left"/>
              <w:rPr>
                <w:rFonts w:ascii="arial" w:hAnsi="arial"/>
                <w:sz w:val="20"/>
              </w:rPr>
            </w:pPr>
            <w:r>
              <w:rPr>
                <w:rFonts w:ascii="arial" w:hAnsi="arial"/>
                <w:sz w:val="20"/>
              </w:rPr>
              <w:t>Yuling Luo,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483,475</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bidi w:val="0"/>
              <w:spacing w:before="0" w:after="283"/>
              <w:jc w:val="right"/>
              <w:rPr/>
            </w:pPr>
            <w:r>
              <w:rPr/>
              <w:t>2,613,924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819" w:type="dxa"/>
            <w:tcBorders/>
            <w:shd w:fill="CCEEFF" w:val="clear"/>
          </w:tcPr>
          <w:p>
            <w:pPr>
              <w:pStyle w:val="TableContents"/>
              <w:bidi w:val="0"/>
              <w:spacing w:before="0" w:after="283"/>
              <w:jc w:val="right"/>
              <w:rPr/>
            </w:pPr>
            <w:r>
              <w:rPr/>
              <w:t>175,501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pPr>
            <w:r>
              <w:rPr/>
              <w:t> </w:t>
            </w:r>
          </w:p>
        </w:tc>
        <w:tc>
          <w:tcPr>
            <w:tcW w:w="1766" w:type="dxa"/>
            <w:tcBorders/>
            <w:shd w:fill="CCEEFF" w:val="clear"/>
          </w:tcPr>
          <w:p>
            <w:pPr>
              <w:pStyle w:val="TableContents"/>
              <w:bidi w:val="0"/>
              <w:spacing w:before="0" w:after="283"/>
              <w:jc w:val="right"/>
              <w:rPr/>
            </w:pPr>
            <w:r>
              <w:rPr/>
              <w:t>3,089</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3,275,990</w:t>
            </w:r>
          </w:p>
        </w:tc>
        <w:tc>
          <w:tcPr>
            <w:tcW w:w="60" w:type="dxa"/>
            <w:tcBorders/>
            <w:shd w:fill="CCEEFF" w:val="clear"/>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i/>
                <w:sz w:val="20"/>
              </w:rPr>
            </w:pPr>
            <w:r>
              <w:rPr>
                <w:rFonts w:ascii="arial" w:hAnsi="arial"/>
                <w:i/>
                <w:sz w:val="20"/>
              </w:rPr>
              <w:t>Co-founder, Chief Executive Officer, and Chairman</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sz w:val="4"/>
                <w:szCs w:val="4"/>
              </w:rPr>
            </w:pPr>
            <w:r>
              <w:rPr>
                <w:sz w:val="4"/>
                <w:szCs w:val="4"/>
              </w:rPr>
            </w:r>
          </w:p>
        </w:tc>
        <w:tc>
          <w:tcPr>
            <w:tcW w:w="18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76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rHeight w:val="75" w:hRule="atLeast"/>
        </w:trPr>
        <w:tc>
          <w:tcPr>
            <w:tcW w:w="10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arial" w:hAnsi="arial"/>
                <w:sz w:val="20"/>
              </w:rPr>
            </w:pPr>
            <w:r>
              <w:rPr>
                <w:rFonts w:ascii="arial" w:hAnsi="arial"/>
                <w:sz w:val="20"/>
              </w:rPr>
              <w:t>Justin McAnear(4)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104,356</w:t>
            </w:r>
          </w:p>
        </w:tc>
        <w:tc>
          <w:tcPr>
            <w:tcW w:w="350" w:type="dxa"/>
            <w:tcBorders/>
            <w:shd w:fill="CCEEFF" w:val="clear"/>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100,000</w:t>
            </w:r>
          </w:p>
        </w:tc>
        <w:tc>
          <w:tcPr>
            <w:tcW w:w="350" w:type="dxa"/>
            <w:tcBorders/>
            <w:shd w:fill="CCEEFF" w:val="clear"/>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bidi w:val="0"/>
              <w:spacing w:before="0" w:after="283"/>
              <w:jc w:val="right"/>
              <w:rPr/>
            </w:pPr>
            <w:r>
              <w:rPr/>
              <w:t>1,701,611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819" w:type="dxa"/>
            <w:tcBorders/>
            <w:shd w:fill="CCEEFF" w:val="clear"/>
          </w:tcPr>
          <w:p>
            <w:pPr>
              <w:pStyle w:val="TableContents"/>
              <w:bidi w:val="0"/>
              <w:spacing w:before="0" w:after="283"/>
              <w:jc w:val="right"/>
              <w:rPr/>
            </w:pPr>
            <w:r>
              <w:rPr/>
              <w:t>31,493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pPr>
            <w:r>
              <w:rPr/>
              <w:t> </w:t>
            </w:r>
          </w:p>
        </w:tc>
        <w:tc>
          <w:tcPr>
            <w:tcW w:w="1766" w:type="dxa"/>
            <w:tcBorders/>
            <w:shd w:fill="CCEEFF" w:val="clear"/>
          </w:tcPr>
          <w:p>
            <w:pPr>
              <w:pStyle w:val="TableContents"/>
              <w:bidi w:val="0"/>
              <w:spacing w:before="0" w:after="283"/>
              <w:jc w:val="right"/>
              <w:rPr/>
            </w:pPr>
            <w:r>
              <w:rPr/>
              <w:t>—</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1,937,460</w:t>
            </w:r>
          </w:p>
        </w:tc>
        <w:tc>
          <w:tcPr>
            <w:tcW w:w="60" w:type="dxa"/>
            <w:tcBorders/>
            <w:shd w:fill="CCEEFF" w:val="clear"/>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i/>
                <w:sz w:val="20"/>
              </w:rPr>
            </w:pPr>
            <w:r>
              <w:rPr>
                <w:rFonts w:ascii="arial" w:hAnsi="arial"/>
                <w:i/>
                <w:sz w:val="20"/>
              </w:rPr>
              <w:t>Chief Financial Officer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sz w:val="4"/>
                <w:szCs w:val="4"/>
              </w:rPr>
            </w:pPr>
            <w:r>
              <w:rPr>
                <w:sz w:val="4"/>
                <w:szCs w:val="4"/>
              </w:rPr>
            </w:r>
          </w:p>
        </w:tc>
        <w:tc>
          <w:tcPr>
            <w:tcW w:w="18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76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rHeight w:val="75" w:hRule="atLeast"/>
        </w:trPr>
        <w:tc>
          <w:tcPr>
            <w:tcW w:w="10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arial" w:hAnsi="arial"/>
                <w:sz w:val="20"/>
              </w:rPr>
            </w:pPr>
            <w:r>
              <w:rPr>
                <w:rFonts w:ascii="arial" w:hAnsi="arial"/>
                <w:sz w:val="20"/>
              </w:rPr>
              <w:t>Shiping “Steve” Chen,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415,135</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bidi w:val="0"/>
              <w:spacing w:before="0" w:after="283"/>
              <w:jc w:val="right"/>
              <w:rPr/>
            </w:pPr>
            <w:r>
              <w:rPr/>
              <w:t>1,035,438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819" w:type="dxa"/>
            <w:tcBorders/>
            <w:shd w:fill="CCEEFF" w:val="clear"/>
          </w:tcPr>
          <w:p>
            <w:pPr>
              <w:pStyle w:val="TableContents"/>
              <w:bidi w:val="0"/>
              <w:spacing w:before="0" w:after="283"/>
              <w:jc w:val="right"/>
              <w:rPr/>
            </w:pPr>
            <w:r>
              <w:rPr/>
              <w:t>125,578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pPr>
            <w:r>
              <w:rPr/>
              <w:t> </w:t>
            </w:r>
          </w:p>
        </w:tc>
        <w:tc>
          <w:tcPr>
            <w:tcW w:w="1766" w:type="dxa"/>
            <w:tcBorders/>
            <w:shd w:fill="CCEEFF" w:val="clear"/>
          </w:tcPr>
          <w:p>
            <w:pPr>
              <w:pStyle w:val="TableContents"/>
              <w:bidi w:val="0"/>
              <w:spacing w:before="0" w:after="283"/>
              <w:jc w:val="right"/>
              <w:rPr/>
            </w:pPr>
            <w:r>
              <w:rPr/>
              <w:t>2,342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1,578,493</w:t>
            </w:r>
          </w:p>
        </w:tc>
        <w:tc>
          <w:tcPr>
            <w:tcW w:w="60" w:type="dxa"/>
            <w:tcBorders/>
            <w:shd w:fill="CCEEFF" w:val="clear"/>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i/>
                <w:sz w:val="20"/>
              </w:rPr>
            </w:pPr>
            <w:r>
              <w:rPr>
                <w:rFonts w:ascii="arial" w:hAnsi="arial"/>
                <w:i/>
                <w:sz w:val="20"/>
              </w:rPr>
              <w:t>Co-founder, Chief Operating Officer, and Director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sz w:val="4"/>
                <w:szCs w:val="4"/>
              </w:rPr>
            </w:pPr>
            <w:r>
              <w:rPr>
                <w:sz w:val="4"/>
                <w:szCs w:val="4"/>
              </w:rPr>
            </w:r>
          </w:p>
        </w:tc>
        <w:tc>
          <w:tcPr>
            <w:tcW w:w="18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76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9765" w:type="dxa"/>
            <w:gridSpan w:val="24"/>
            <w:tcBorders/>
          </w:tcPr>
          <w:p>
            <w:pPr>
              <w:pStyle w:val="TableContents"/>
              <w:pBdr>
                <w:bottom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bottom w:val="single" w:sz="2" w:space="1" w:color="000000"/>
              </w:pBdr>
              <w:bidi w:val="0"/>
              <w:spacing w:before="0" w:after="0"/>
              <w:jc w:val="left"/>
              <w:rPr/>
            </w:pPr>
            <w:r>
              <w:rPr/>
              <w:t> </w:t>
            </w:r>
          </w:p>
        </w:tc>
        <w:tc>
          <w:tcPr>
            <w:tcW w:w="980" w:type="dxa"/>
            <w:tcBorders/>
            <w:vAlign w:val="bottom"/>
          </w:tcPr>
          <w:p>
            <w:pPr>
              <w:pStyle w:val="TableContents"/>
              <w:pBdr>
                <w:bottom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The amounts reported in this column represent the aggregate grant date fair value of the options granted to each named executed officer in 2025, as calculated in accordance with Financial Accounting Standards Board (“FASB”) Accounting Standards Codification (“ASC”) Topic 718, excluding the effect of estimated forfeiture. The assumptions used in calculating the grant date fair value of these options are set forth in Note 9 to our audited consolidated financial statements included elsewhere in this prospectus. For Dr. Luo and Dr. Chen, this amount represents the grant date fair value of (i) the equity award bonuses earned based on the achievement of certain corporate performance objectives for fiscal year 2024, which were granted in January 2025, as described further under the subsection titled “2024 bonus opportunity,” and (ii) their other equity awards granted in January 2025 as described further under the subsection titled “Equity-based incentive awards.” For Mr. McAnear, this amount represents the grant date fair value of his new-hire equity award granted in October 2025, as described further under the subsection below titled “—Equity-based incentive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Represents the amount of the cash bonuses payable to each named executive officer with respect to the fiscal year ended December 31, 2025. For additional information, please see the subsection below titled “Performance bonus opportunity—2025 bonus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6"/>
        <w:gridCol w:w="9876"/>
      </w:tblGrid>
      <w:tr>
        <w:trPr/>
        <w:tc>
          <w:tcPr>
            <w:tcW w:w="223"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6" w:type="dxa"/>
            <w:tcBorders/>
          </w:tcPr>
          <w:p>
            <w:pPr>
              <w:pStyle w:val="TableContents"/>
              <w:bidi w:val="0"/>
              <w:spacing w:before="0" w:after="283"/>
              <w:jc w:val="left"/>
              <w:rPr/>
            </w:pPr>
            <w:r>
              <w:rPr/>
              <w:t xml:space="preserve">Consists of 401(k) employer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(4)</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Mr. McAnear joined our Company in October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(5)</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Represents the prorated amount of Mr. McAnear’s annual salary for 2025 based on the portion of the year he was employed in 2025. His annualized base salary for 2025 was $475,000.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6"/>
        <w:gridCol w:w="105"/>
        <w:gridCol w:w="9884"/>
      </w:tblGrid>
      <w:tr>
        <w:trPr/>
        <w:tc>
          <w:tcPr>
            <w:tcW w:w="216" w:type="dxa"/>
            <w:tcBorders/>
          </w:tcPr>
          <w:p>
            <w:pPr>
              <w:pStyle w:val="TableContents"/>
              <w:bidi w:val="0"/>
              <w:spacing w:before="0" w:after="283"/>
              <w:jc w:val="left"/>
              <w:rPr/>
            </w:pPr>
            <w:r>
              <w:rPr/>
              <w:t>(6)</w:t>
            </w:r>
          </w:p>
        </w:tc>
        <w:tc>
          <w:tcPr>
            <w:tcW w:w="105"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This amount represents the sign-on bonus that Mr. McAnear received under his offer letter, as described below under “—Employment arrangements with our named executive officers—Justin McAnear”. </w:t>
            </w:r>
          </w:p>
        </w:tc>
      </w:tr>
    </w:tbl>
    <w:p>
      <w:pPr>
        <w:pStyle w:val="TextBody"/>
        <w:bidi w:val="0"/>
        <w:spacing w:before="320" w:after="0"/>
        <w:jc w:val="left"/>
        <w:rPr>
          <w:rFonts w:ascii="arial" w:hAnsi="arial"/>
          <w:b/>
          <w:sz w:val="24"/>
        </w:rPr>
      </w:pPr>
      <w:r>
        <w:rPr>
          <w:rFonts w:ascii="arial" w:hAnsi="arial"/>
          <w:b/>
          <w:sz w:val="24"/>
        </w:rPr>
        <w:t xml:space="preserve">Narrative to summary compensation table </w:t>
      </w:r>
    </w:p>
    <w:p>
      <w:pPr>
        <w:pStyle w:val="TextBody"/>
        <w:bidi w:val="0"/>
        <w:spacing w:before="160" w:after="0"/>
        <w:jc w:val="left"/>
        <w:rPr>
          <w:rFonts w:ascii="arial" w:hAnsi="arial"/>
          <w:b/>
          <w:i/>
          <w:sz w:val="20"/>
        </w:rPr>
      </w:pPr>
      <w:r>
        <w:rPr>
          <w:rFonts w:ascii="arial" w:hAnsi="arial"/>
          <w:b/>
          <w:i/>
          <w:sz w:val="20"/>
        </w:rPr>
        <w:t xml:space="preserve">Annual base salary </w:t>
      </w:r>
    </w:p>
    <w:p>
      <w:pPr>
        <w:pStyle w:val="TextBody"/>
        <w:bidi w:val="0"/>
        <w:spacing w:before="160" w:after="0"/>
        <w:jc w:val="left"/>
        <w:rPr>
          <w:rFonts w:ascii="arial" w:hAnsi="arial"/>
          <w:sz w:val="20"/>
        </w:rPr>
      </w:pPr>
      <w:r>
        <w:rPr>
          <w:rFonts w:ascii="arial" w:hAnsi="arial"/>
          <w:sz w:val="20"/>
        </w:rPr>
        <w:t xml:space="preserve">The compensation of our named executive officers is generally determined and approved by our board of directors. The 2025 annual base salary rates for our named executive officers are set forth in the table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866"/>
        <w:gridCol w:w="230"/>
        <w:gridCol w:w="70"/>
        <w:gridCol w:w="977"/>
        <w:gridCol w:w="62"/>
      </w:tblGrid>
      <w:tr>
        <w:trPr/>
        <w:tc>
          <w:tcPr>
            <w:tcW w:w="8866"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866" w:type="dxa"/>
            <w:tcBorders>
              <w:top w:val="single" w:sz="16" w:space="0" w:color="000000"/>
            </w:tcBorders>
            <w:tcMar>
              <w:top w:w="28" w:type="dxa"/>
            </w:tcMar>
            <w:vAlign w:val="center"/>
          </w:tcPr>
          <w:p>
            <w:pPr>
              <w:pStyle w:val="TableContents"/>
              <w:bidi w:val="0"/>
              <w:spacing w:before="0" w:after="283"/>
              <w:jc w:val="left"/>
              <w:rPr/>
            </w:pPr>
            <w:r>
              <w:rPr/>
              <w:t> </w:t>
            </w:r>
          </w:p>
        </w:tc>
        <w:tc>
          <w:tcPr>
            <w:tcW w:w="133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66" w:type="dxa"/>
            <w:tcBorders>
              <w:bottom w:val="single" w:sz="2" w:space="0" w:color="000000"/>
            </w:tcBorders>
            <w:tcMar>
              <w:bottom w:w="60" w:type="dxa"/>
            </w:tcMar>
            <w:vAlign w:val="bottom"/>
          </w:tcPr>
          <w:p>
            <w:pPr>
              <w:pStyle w:val="TableContents"/>
              <w:bidi w:val="0"/>
              <w:spacing w:before="0" w:after="283"/>
              <w:jc w:val="left"/>
              <w:rPr>
                <w:b/>
              </w:rPr>
            </w:pPr>
            <w:r>
              <w:rPr>
                <w:b/>
              </w:rPr>
              <w:t>Name</w:t>
            </w:r>
          </w:p>
        </w:tc>
        <w:tc>
          <w:tcPr>
            <w:tcW w:w="23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7" w:type="dxa"/>
            <w:gridSpan w:val="2"/>
            <w:tcBorders>
              <w:bottom w:val="single" w:sz="2" w:space="0" w:color="000000"/>
            </w:tcBorders>
            <w:tcMar>
              <w:bottom w:w="60" w:type="dxa"/>
            </w:tcMar>
            <w:vAlign w:val="bottom"/>
          </w:tcPr>
          <w:p>
            <w:pPr>
              <w:pStyle w:val="TableContents"/>
              <w:bidi w:val="0"/>
              <w:spacing w:before="0" w:after="283"/>
              <w:jc w:val="right"/>
              <w:rPr>
                <w:b/>
              </w:rPr>
            </w:pPr>
            <w:r>
              <w:rPr>
                <w:b/>
              </w:rPr>
              <w:t>2025 base</w:t>
              <w:br/>
              <w:t>salary ($)</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866" w:type="dxa"/>
            <w:tcBorders/>
            <w:shd w:fill="CCEEFF" w:val="clear"/>
          </w:tcPr>
          <w:p>
            <w:pPr>
              <w:pStyle w:val="TableContents"/>
              <w:bidi w:val="0"/>
              <w:spacing w:before="0" w:after="0"/>
              <w:jc w:val="left"/>
              <w:rPr>
                <w:rFonts w:ascii="arial" w:hAnsi="arial"/>
                <w:sz w:val="20"/>
              </w:rPr>
            </w:pPr>
            <w:r>
              <w:rPr>
                <w:rFonts w:ascii="arial" w:hAnsi="arial"/>
                <w:sz w:val="20"/>
              </w:rPr>
              <w:t>Yuling Luo, Ph.D.</w:t>
            </w:r>
          </w:p>
        </w:tc>
        <w:tc>
          <w:tcPr>
            <w:tcW w:w="23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483,475</w:t>
            </w:r>
          </w:p>
        </w:tc>
        <w:tc>
          <w:tcPr>
            <w:tcW w:w="62" w:type="dxa"/>
            <w:tcBorders/>
            <w:shd w:fill="CCEEFF" w:val="clear"/>
            <w:vAlign w:val="bottom"/>
          </w:tcPr>
          <w:p>
            <w:pPr>
              <w:pStyle w:val="TableContents"/>
              <w:bidi w:val="0"/>
              <w:spacing w:before="0" w:after="283"/>
              <w:jc w:val="left"/>
              <w:rPr/>
            </w:pPr>
            <w:r>
              <w:rPr/>
              <w:t> </w:t>
            </w:r>
          </w:p>
        </w:tc>
      </w:tr>
      <w:tr>
        <w:trPr/>
        <w:tc>
          <w:tcPr>
            <w:tcW w:w="8866" w:type="dxa"/>
            <w:tcBorders/>
          </w:tcPr>
          <w:p>
            <w:pPr>
              <w:pStyle w:val="TableContents"/>
              <w:bidi w:val="0"/>
              <w:spacing w:before="0" w:after="0"/>
              <w:jc w:val="left"/>
              <w:rPr>
                <w:rFonts w:ascii="arial" w:hAnsi="arial"/>
                <w:sz w:val="20"/>
              </w:rPr>
            </w:pPr>
            <w:r>
              <w:rPr>
                <w:rFonts w:ascii="arial" w:hAnsi="arial"/>
                <w:sz w:val="20"/>
              </w:rPr>
              <w:t>Justin McAnear</w:t>
            </w:r>
          </w:p>
        </w:tc>
        <w:tc>
          <w:tcPr>
            <w:tcW w:w="23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475,000</w:t>
            </w:r>
          </w:p>
        </w:tc>
        <w:tc>
          <w:tcPr>
            <w:tcW w:w="62" w:type="dxa"/>
            <w:tcBorders/>
            <w:vAlign w:val="bottom"/>
          </w:tcPr>
          <w:p>
            <w:pPr>
              <w:pStyle w:val="TableContents"/>
              <w:bidi w:val="0"/>
              <w:spacing w:before="0" w:after="283"/>
              <w:jc w:val="left"/>
              <w:rPr/>
            </w:pPr>
            <w:r>
              <w:rPr/>
              <w:t> </w:t>
            </w:r>
          </w:p>
        </w:tc>
      </w:tr>
      <w:tr>
        <w:trPr/>
        <w:tc>
          <w:tcPr>
            <w:tcW w:w="8866" w:type="dxa"/>
            <w:tcBorders>
              <w:bottom w:val="single" w:sz="2" w:space="0" w:color="000000"/>
            </w:tcBorders>
            <w:shd w:fill="CCEEFF" w:val="clear"/>
            <w:tcMar>
              <w:bottom w:w="60" w:type="dxa"/>
            </w:tcMar>
          </w:tcPr>
          <w:p>
            <w:pPr>
              <w:pStyle w:val="TableContents"/>
              <w:bidi w:val="0"/>
              <w:spacing w:before="0" w:after="0"/>
              <w:jc w:val="left"/>
              <w:rPr>
                <w:rFonts w:ascii="arial" w:hAnsi="arial"/>
                <w:sz w:val="20"/>
              </w:rPr>
            </w:pPr>
            <w:r>
              <w:rPr>
                <w:rFonts w:ascii="arial" w:hAnsi="arial"/>
                <w:sz w:val="20"/>
              </w:rPr>
              <w:t>Shiping “Steve” Chen, Ph.D.</w:t>
            </w:r>
          </w:p>
        </w:tc>
        <w:tc>
          <w:tcPr>
            <w:tcW w:w="23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977" w:type="dxa"/>
            <w:tcBorders>
              <w:bottom w:val="single" w:sz="2" w:space="0" w:color="000000"/>
            </w:tcBorders>
            <w:shd w:fill="CCEEFF" w:val="clear"/>
            <w:tcMar>
              <w:bottom w:w="60" w:type="dxa"/>
            </w:tcMar>
            <w:vAlign w:val="bottom"/>
          </w:tcPr>
          <w:p>
            <w:pPr>
              <w:pStyle w:val="TableContents"/>
              <w:bidi w:val="0"/>
              <w:spacing w:before="0" w:after="283"/>
              <w:jc w:val="right"/>
              <w:rPr/>
            </w:pPr>
            <w:r>
              <w:rPr/>
              <w:t>415,135</w:t>
            </w:r>
          </w:p>
        </w:tc>
        <w:tc>
          <w:tcPr>
            <w:tcW w:w="62"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r>
    </w:tbl>
    <w:p>
      <w:pPr>
        <w:pStyle w:val="TextBody"/>
        <w:bidi w:val="0"/>
        <w:spacing w:before="320" w:after="0"/>
        <w:jc w:val="left"/>
        <w:rPr>
          <w:rFonts w:ascii="arial" w:hAnsi="arial"/>
          <w:b/>
          <w:i/>
          <w:sz w:val="20"/>
        </w:rPr>
      </w:pPr>
      <w:r>
        <w:rPr>
          <w:rFonts w:ascii="arial" w:hAnsi="arial"/>
          <w:b/>
          <w:i/>
          <w:sz w:val="20"/>
        </w:rPr>
        <w:t xml:space="preserve">Performance bonus opportunity </w:t>
      </w:r>
    </w:p>
    <w:p>
      <w:pPr>
        <w:pStyle w:val="TextBody"/>
        <w:bidi w:val="0"/>
        <w:spacing w:before="160" w:after="0"/>
        <w:jc w:val="left"/>
        <w:rPr>
          <w:rFonts w:ascii="arial" w:hAnsi="arial"/>
          <w:sz w:val="20"/>
        </w:rPr>
      </w:pPr>
      <w:r>
        <w:rPr>
          <w:rFonts w:ascii="arial" w:hAnsi="arial"/>
          <w:sz w:val="20"/>
        </w:rPr>
        <w:t xml:space="preserve">In addition to base salaries, our named executive officers are eligible to receive annual performance-based bonuses, which are designed to provide appropriate incentives to our executives to achieve defined annual corporate goals. The annual performance-based bonuses consist of a cash bonus and an equity award bonus. The cash bonus target for each executive is based on a percentage of the executive’s base salary and the equity award bonus target is based on a percentage of the number of shares underlying an equity award that was previously granted to the executive, and are expected to be paid and granted, as applicable, annually in the first quarter of the year following the performance year. The annual performance-based bonus that each named executive officer is eligible to receive is generally based on the extent to which we achieve the corporate goals that our board of directors establishes each year. Following the end of the year, our board of directors reviews our performance against each corporate goal, and our board of directors determines the extent to which we such goals were achieved. </w:t>
      </w:r>
    </w:p>
    <w:p>
      <w:pPr>
        <w:pStyle w:val="TextBody"/>
        <w:bidi w:val="0"/>
        <w:spacing w:before="320" w:after="0"/>
        <w:jc w:val="left"/>
        <w:rPr>
          <w:rFonts w:ascii="arial" w:hAnsi="arial"/>
          <w:i/>
          <w:sz w:val="20"/>
        </w:rPr>
      </w:pPr>
      <w:r>
        <w:rPr>
          <w:rFonts w:ascii="arial" w:hAnsi="arial"/>
          <w:i/>
          <w:sz w:val="20"/>
        </w:rPr>
        <w:t xml:space="preserve">2024 bonus opportunity </w:t>
      </w:r>
    </w:p>
    <w:p>
      <w:pPr>
        <w:pStyle w:val="TextBody"/>
        <w:bidi w:val="0"/>
        <w:spacing w:before="160" w:after="0"/>
        <w:jc w:val="left"/>
        <w:rPr>
          <w:rFonts w:ascii="arial" w:hAnsi="arial"/>
          <w:sz w:val="20"/>
        </w:rPr>
      </w:pPr>
      <w:r>
        <w:rPr>
          <w:rFonts w:ascii="arial" w:hAnsi="arial"/>
          <w:sz w:val="20"/>
        </w:rPr>
        <w:t xml:space="preserve">For the year ended December 31, 2024, cash bonus targets for Dr. Luo and Dr. Chen were 30% and 25% of their base salaries, respectively, and their equity award bonus targets were options to purchase 34,987 shares and 10,074 shares for Dr. Luo and Dr. Chen, respectively. For the year ended December 31, 2024, our board of directors determined that the percentage attainment of corporate performance goals was 106%, and as a result, (a) granted options with respect to 37,086 and 10,679 shares to Dr. Luo and Dr. Chen, respectively, in January 2025, as reflected in the “Option awards” column of the Summary Compensation Table above and (b) approved 2024 cash bonuses of $147,832 and $106,106, respectively, for Dr. Luo and Dr. Chen, which were paid in February 2025 (but which are not reportable as 2025 compensation under relevant SEC rules). The corporate performance goals established by our board of directors for the year ended December 31, 2024 for purposes of our annual cash bonus and equity bonus programs consist of a number of commercial, research and development, and operational milestones. </w:t>
      </w:r>
    </w:p>
    <w:p>
      <w:pPr>
        <w:pStyle w:val="TextBody"/>
        <w:bidi w:val="0"/>
        <w:spacing w:before="320" w:after="0"/>
        <w:jc w:val="left"/>
        <w:rPr>
          <w:rFonts w:ascii="arial" w:hAnsi="arial"/>
          <w:i/>
          <w:sz w:val="20"/>
        </w:rPr>
      </w:pPr>
      <w:r>
        <w:rPr>
          <w:rFonts w:ascii="arial" w:hAnsi="arial"/>
          <w:i/>
          <w:sz w:val="20"/>
        </w:rPr>
        <w:t xml:space="preserve">2025 bonus opportunity </w:t>
      </w:r>
    </w:p>
    <w:p>
      <w:pPr>
        <w:pStyle w:val="TextBody"/>
        <w:bidi w:val="0"/>
        <w:spacing w:before="160" w:after="0"/>
        <w:jc w:val="left"/>
        <w:rPr>
          <w:rFonts w:ascii="arial" w:hAnsi="arial"/>
          <w:sz w:val="20"/>
        </w:rPr>
      </w:pPr>
      <w:r>
        <w:rPr>
          <w:rFonts w:ascii="arial" w:hAnsi="arial"/>
          <w:sz w:val="20"/>
        </w:rPr>
        <w:t xml:space="preserve">For the year ended December 31, 2025, cash bonus targets for Dr. Luo and Dr. Chen were 30% and 25% of their base salaries, respectively, and their equity award bonus targets were options to purchase 34,987 shares and 10,074 shares for Dr. Luo and Dr. Chen, respectively. Mr. McAnear’s cash bonus target is 25% of his base salary, which will be prorated based on the portion of 2025 that he was employed by the Company, and he is not eligible to earn an equity award bonus for the year ended December 31, 2025. The corporate performance goals established by our board of directors for the year ended December 31, 2025 for purposes of our annual cash bonus and equity bonus programs consist of a number of commercial, research and development, and operational milestones. For the year ended December 31, 2025, our board of directors determined that the percentage attainment of corporate performance goals was 121%, and as a result, (a) granted options with respect to 42,334 and 12,190 shares to Dr. Luo and Dr. Chen, respectively, in January 2026 (but which are not reportable as 2025 compensation under relevant SEC rules), and (b) approved 2025 cash bonuses of $175,501, $125,578 and $31,493, respectively, for Dr. Luo, Dr. Chen, and Mr. McAnear, which were paid in February 2026 and are reflected in the “Non-equity incentive plan compensation” column of the summary compensation table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Equity-based incentive awards </w:t>
      </w:r>
    </w:p>
    <w:p>
      <w:pPr>
        <w:pStyle w:val="TextBody"/>
        <w:bidi w:val="0"/>
        <w:spacing w:before="160" w:after="0"/>
        <w:jc w:val="left"/>
        <w:rPr>
          <w:rFonts w:ascii="arial" w:hAnsi="arial"/>
          <w:sz w:val="20"/>
        </w:rPr>
      </w:pPr>
      <w:r>
        <w:rPr>
          <w:rFonts w:ascii="arial" w:hAnsi="arial"/>
          <w:sz w:val="20"/>
        </w:rPr>
        <w:t xml:space="preserve">Our equity-based incentive awards are designed to align our interests and those of our stockholders with those of our employees, including our executive officers. The board of directors or an authorized committee thereof is responsible for approving equity grants. </w:t>
      </w:r>
    </w:p>
    <w:p>
      <w:pPr>
        <w:pStyle w:val="TextBody"/>
        <w:bidi w:val="0"/>
        <w:spacing w:before="160" w:after="0"/>
        <w:jc w:val="left"/>
        <w:rPr>
          <w:rFonts w:ascii="arial" w:hAnsi="arial"/>
          <w:sz w:val="20"/>
        </w:rPr>
      </w:pPr>
      <w:r>
        <w:rPr>
          <w:rFonts w:ascii="arial" w:hAnsi="arial"/>
          <w:sz w:val="20"/>
        </w:rPr>
        <w:t xml:space="preserve">Prior to this offering, we have granted stock options pursuant to our 2018 Stock Plan (the “2018 Plan”) to certain of our executives. Following this offering, we will grant equity awards under the terms of our 2026 Equity Incentive Plan (the “2026 Plan”). The terms of our equity plans are described below under the subsection titled “—Equity plans.” All options are granted with an exercise price per share that is no less than the fair market value of our common stock on the date of grant of such award as determined by our board of directors based on an independent third-party valuation. </w:t>
      </w:r>
    </w:p>
    <w:p>
      <w:pPr>
        <w:pStyle w:val="TextBody"/>
        <w:bidi w:val="0"/>
        <w:spacing w:before="160" w:after="0"/>
        <w:jc w:val="left"/>
        <w:rPr>
          <w:rFonts w:ascii="arial" w:hAnsi="arial"/>
          <w:sz w:val="20"/>
        </w:rPr>
      </w:pPr>
      <w:r>
        <w:rPr>
          <w:rFonts w:ascii="arial" w:hAnsi="arial"/>
          <w:sz w:val="20"/>
        </w:rPr>
        <w:t xml:space="preserve">In January 2025, our board of directors granted Dr. Luo and Dr. Chen options to purchase 1,033,912 and 413,564 shares of our Class B common stock, respectively, which vest in 48 equal monthly installments over a four-year period commencing on January 16, 2025, subject to continuous service through each applicable vesting date. Our board of directors also granted Dr. Luo and Dr. Chen options to purchase 37,086 and 10,679 shares of our Class B common stock, respectively, which vest in 48 equal monthly installments over a four-year period commencing on January 1, 2025, which were granted in connection with the Company’s bonus program, as described above. </w:t>
      </w:r>
    </w:p>
    <w:p>
      <w:pPr>
        <w:pStyle w:val="TextBody"/>
        <w:bidi w:val="0"/>
        <w:spacing w:before="160" w:after="0"/>
        <w:jc w:val="left"/>
        <w:rPr>
          <w:rFonts w:ascii="arial" w:hAnsi="arial"/>
          <w:sz w:val="20"/>
        </w:rPr>
      </w:pPr>
      <w:r>
        <w:rPr>
          <w:rFonts w:ascii="arial" w:hAnsi="arial"/>
          <w:sz w:val="20"/>
        </w:rPr>
        <w:t xml:space="preserve">In October 2025, our board of directors granted Mr. McAnear an option to purchase 570,719 shares of our Class B common stock, with one-fourth of the total shares subject to this option vesting on October 13, 2026 and the remainder vesting in equal monthly installments over the subsequent three-year period, subject to continuous service through each applicable vesting date. This option was granted in connection with Mr. McAnear’s appointment as our Chief Financial Officer. </w:t>
      </w:r>
    </w:p>
    <w:p>
      <w:pPr>
        <w:pStyle w:val="TextBody"/>
        <w:bidi w:val="0"/>
        <w:spacing w:before="160" w:after="0"/>
        <w:jc w:val="left"/>
        <w:rPr>
          <w:rFonts w:ascii="arial" w:hAnsi="arial"/>
          <w:sz w:val="20"/>
        </w:rPr>
      </w:pPr>
      <w:r>
        <w:rPr>
          <w:rFonts w:ascii="arial" w:hAnsi="arial"/>
          <w:sz w:val="20"/>
        </w:rPr>
        <w:t xml:space="preserve">The terms of these awards are further described under “—Outstanding equity awards as of December 31, 2025” below. </w:t>
      </w:r>
    </w:p>
    <w:p>
      <w:pPr>
        <w:pStyle w:val="TextBody"/>
        <w:bidi w:val="0"/>
        <w:spacing w:before="320" w:after="0"/>
        <w:jc w:val="left"/>
        <w:rPr>
          <w:rFonts w:ascii="arial" w:hAnsi="arial"/>
          <w:b/>
          <w:sz w:val="24"/>
        </w:rPr>
      </w:pPr>
      <w:r>
        <w:rPr>
          <w:rFonts w:ascii="arial" w:hAnsi="arial"/>
          <w:b/>
          <w:sz w:val="24"/>
        </w:rPr>
        <w:t xml:space="preserve">Outstanding equity awards as of December 31, 2025 </w:t>
      </w:r>
    </w:p>
    <w:p>
      <w:pPr>
        <w:pStyle w:val="TextBody"/>
        <w:bidi w:val="0"/>
        <w:spacing w:before="160" w:after="0"/>
        <w:jc w:val="left"/>
        <w:rPr>
          <w:rFonts w:ascii="arial" w:hAnsi="arial"/>
          <w:sz w:val="20"/>
        </w:rPr>
      </w:pPr>
      <w:r>
        <w:rPr>
          <w:rFonts w:ascii="arial" w:hAnsi="arial"/>
          <w:sz w:val="20"/>
        </w:rPr>
        <w:t xml:space="preserve">The following table presents the outstanding equity incentive plan awards held by each named executive officer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8"/>
        <w:gridCol w:w="150"/>
        <w:gridCol w:w="60"/>
        <w:gridCol w:w="637"/>
        <w:gridCol w:w="60"/>
        <w:gridCol w:w="150"/>
        <w:gridCol w:w="163"/>
        <w:gridCol w:w="1397"/>
        <w:gridCol w:w="60"/>
        <w:gridCol w:w="133"/>
        <w:gridCol w:w="62"/>
        <w:gridCol w:w="1129"/>
        <w:gridCol w:w="620"/>
        <w:gridCol w:w="166"/>
        <w:gridCol w:w="97"/>
        <w:gridCol w:w="1452"/>
        <w:gridCol w:w="59"/>
        <w:gridCol w:w="150"/>
        <w:gridCol w:w="235"/>
        <w:gridCol w:w="791"/>
        <w:gridCol w:w="60"/>
        <w:gridCol w:w="133"/>
        <w:gridCol w:w="60"/>
        <w:gridCol w:w="1119"/>
        <w:gridCol w:w="84"/>
      </w:tblGrid>
      <w:tr>
        <w:trPr/>
        <w:tc>
          <w:tcPr>
            <w:tcW w:w="1178"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178" w:type="dxa"/>
            <w:tcBorders>
              <w:top w:val="single" w:sz="16" w:space="0" w:color="000000"/>
            </w:tcBorders>
            <w:tcMar>
              <w:top w:w="28" w:type="dxa"/>
            </w:tcMar>
            <w:vAlign w:val="center"/>
          </w:tcPr>
          <w:p>
            <w:pPr>
              <w:pStyle w:val="TableContents"/>
              <w:bidi w:val="0"/>
              <w:spacing w:before="0" w:after="283"/>
              <w:jc w:val="left"/>
              <w:rPr/>
            </w:pPr>
            <w:r>
              <w:rPr/>
              <w:t> </w:t>
            </w:r>
          </w:p>
        </w:tc>
        <w:tc>
          <w:tcPr>
            <w:tcW w:w="90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4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7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178" w:type="dxa"/>
            <w:tcBorders>
              <w:bottom w:val="single" w:sz="2" w:space="0" w:color="000000"/>
            </w:tcBorders>
            <w:tcMar>
              <w:bottom w:w="60" w:type="dxa"/>
            </w:tcMar>
            <w:vAlign w:val="bottom"/>
          </w:tcPr>
          <w:p>
            <w:pPr>
              <w:pStyle w:val="TableContents"/>
              <w:bidi w:val="0"/>
              <w:spacing w:before="0" w:after="283"/>
              <w:jc w:val="left"/>
              <w:rPr>
                <w:b/>
              </w:rPr>
            </w:pPr>
            <w:r>
              <w:rPr>
                <w:b/>
              </w:rPr>
              <w:t>Name</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697"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Grant</w:t>
            </w:r>
          </w:p>
          <w:p>
            <w:pPr>
              <w:pStyle w:val="TableContents"/>
              <w:bidi w:val="0"/>
              <w:spacing w:before="0" w:after="20"/>
              <w:jc w:val="right"/>
              <w:rPr>
                <w:rFonts w:ascii="arial" w:hAnsi="arial"/>
                <w:b/>
                <w:sz w:val="18"/>
              </w:rPr>
            </w:pPr>
            <w:r>
              <w:rPr>
                <w:rFonts w:ascii="arial" w:hAnsi="arial"/>
                <w:b/>
                <w:sz w:val="18"/>
              </w:rPr>
              <w:t>date(1)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1560"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Vesting</w:t>
            </w:r>
          </w:p>
          <w:p>
            <w:pPr>
              <w:pStyle w:val="TableContents"/>
              <w:bidi w:val="0"/>
              <w:spacing w:before="0" w:after="0"/>
              <w:jc w:val="right"/>
              <w:rPr>
                <w:rFonts w:ascii="arial" w:hAnsi="arial"/>
                <w:b/>
                <w:sz w:val="18"/>
              </w:rPr>
            </w:pPr>
            <w:r>
              <w:rPr>
                <w:rFonts w:ascii="arial" w:hAnsi="arial"/>
                <w:b/>
                <w:sz w:val="18"/>
              </w:rPr>
              <w:t>commencement</w:t>
            </w:r>
          </w:p>
          <w:p>
            <w:pPr>
              <w:pStyle w:val="TableContents"/>
              <w:bidi w:val="0"/>
              <w:spacing w:before="0" w:after="20"/>
              <w:jc w:val="right"/>
              <w:rPr>
                <w:rFonts w:ascii="arial" w:hAnsi="arial"/>
                <w:b/>
                <w:sz w:val="18"/>
              </w:rPr>
            </w:pPr>
            <w:r>
              <w:rPr>
                <w:rFonts w:ascii="arial" w:hAnsi="arial"/>
                <w:b/>
                <w:sz w:val="18"/>
              </w:rP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191"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Number of</w:t>
            </w:r>
          </w:p>
          <w:p>
            <w:pPr>
              <w:pStyle w:val="TableContents"/>
              <w:bidi w:val="0"/>
              <w:spacing w:before="0" w:after="0"/>
              <w:jc w:val="right"/>
              <w:rPr>
                <w:rFonts w:ascii="arial" w:hAnsi="arial"/>
                <w:b/>
                <w:sz w:val="18"/>
              </w:rPr>
            </w:pPr>
            <w:r>
              <w:rPr>
                <w:rFonts w:ascii="arial" w:hAnsi="arial"/>
                <w:b/>
                <w:sz w:val="18"/>
              </w:rPr>
              <w:t>securities</w:t>
            </w:r>
          </w:p>
          <w:p>
            <w:pPr>
              <w:pStyle w:val="TableContents"/>
              <w:bidi w:val="0"/>
              <w:spacing w:before="0" w:after="0"/>
              <w:jc w:val="right"/>
              <w:rPr>
                <w:rFonts w:ascii="arial" w:hAnsi="arial"/>
                <w:b/>
                <w:sz w:val="18"/>
              </w:rPr>
            </w:pPr>
            <w:r>
              <w:rPr>
                <w:rFonts w:ascii="arial" w:hAnsi="arial"/>
                <w:b/>
                <w:sz w:val="18"/>
              </w:rPr>
              <w:t>underlying</w:t>
            </w:r>
          </w:p>
          <w:p>
            <w:pPr>
              <w:pStyle w:val="TableContents"/>
              <w:bidi w:val="0"/>
              <w:spacing w:before="0" w:after="0"/>
              <w:jc w:val="right"/>
              <w:rPr>
                <w:rFonts w:ascii="arial" w:hAnsi="arial"/>
                <w:b/>
                <w:sz w:val="18"/>
              </w:rPr>
            </w:pPr>
            <w:r>
              <w:rPr>
                <w:rFonts w:ascii="arial" w:hAnsi="arial"/>
                <w:b/>
                <w:sz w:val="18"/>
              </w:rPr>
              <w:t>unexercised</w:t>
            </w:r>
          </w:p>
          <w:p>
            <w:pPr>
              <w:pStyle w:val="TableContents"/>
              <w:bidi w:val="0"/>
              <w:spacing w:before="0" w:after="0"/>
              <w:jc w:val="right"/>
              <w:rPr>
                <w:rFonts w:ascii="arial" w:hAnsi="arial"/>
                <w:b/>
                <w:sz w:val="18"/>
              </w:rPr>
            </w:pPr>
            <w:r>
              <w:rPr>
                <w:rFonts w:ascii="arial" w:hAnsi="arial"/>
                <w:b/>
                <w:sz w:val="18"/>
              </w:rPr>
              <w:t>options</w:t>
            </w:r>
          </w:p>
          <w:p>
            <w:pPr>
              <w:pStyle w:val="TableContents"/>
              <w:bidi w:val="0"/>
              <w:spacing w:before="0" w:after="20"/>
              <w:jc w:val="right"/>
              <w:rPr>
                <w:rFonts w:ascii="arial" w:hAnsi="arial"/>
                <w:b/>
                <w:sz w:val="18"/>
              </w:rPr>
            </w:pPr>
            <w:r>
              <w:rPr>
                <w:rFonts w:ascii="arial" w:hAnsi="arial"/>
                <w:b/>
                <w:sz w:val="18"/>
              </w:rPr>
              <w:t>exercisable</w:t>
            </w:r>
          </w:p>
        </w:tc>
        <w:tc>
          <w:tcPr>
            <w:tcW w:w="6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6" w:type="dxa"/>
            <w:tcBorders>
              <w:bottom w:val="single" w:sz="2" w:space="0" w:color="000000"/>
            </w:tcBorders>
            <w:tcMar>
              <w:bottom w:w="28" w:type="dxa"/>
            </w:tcMar>
            <w:vAlign w:val="bottom"/>
          </w:tcPr>
          <w:p>
            <w:pPr>
              <w:pStyle w:val="TableContents"/>
              <w:bidi w:val="0"/>
              <w:spacing w:before="0" w:after="283"/>
              <w:jc w:val="left"/>
              <w:rPr/>
            </w:pPr>
            <w:r>
              <w:rPr/>
              <w:t>  </w:t>
            </w:r>
          </w:p>
        </w:tc>
        <w:tc>
          <w:tcPr>
            <w:tcW w:w="1549" w:type="dxa"/>
            <w:gridSpan w:val="2"/>
            <w:tcBorders>
              <w:bottom w:val="single" w:sz="2" w:space="0" w:color="000000"/>
            </w:tcBorders>
            <w:tcMar>
              <w:bottom w:w="60" w:type="dxa"/>
            </w:tcMar>
            <w:vAlign w:val="bottom"/>
          </w:tcPr>
          <w:p>
            <w:pPr>
              <w:pStyle w:val="TableContents"/>
              <w:bidi w:val="0"/>
              <w:spacing w:before="0" w:after="283"/>
              <w:jc w:val="right"/>
              <w:rPr>
                <w:b/>
              </w:rPr>
            </w:pPr>
            <w:r>
              <w:rPr>
                <w:b/>
              </w:rPr>
              <w:t>Number of</w:t>
              <w:br/>
              <w:t>securities</w:t>
              <w:br/>
              <w:t>underlying</w:t>
              <w:br/>
              <w:t>unexercised</w:t>
              <w:br/>
              <w:t>options</w:t>
              <w:br/>
              <w:t>unexercisable</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6"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exercise</w:t>
              <w:br/>
              <w:t>price per</w:t>
              <w:br/>
              <w:t>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expiration</w:t>
              <w:br/>
              <w:t>date</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178" w:type="dxa"/>
            <w:tcBorders/>
            <w:shd w:fill="CCEEFF" w:val="clear"/>
          </w:tcPr>
          <w:p>
            <w:pPr>
              <w:pStyle w:val="TableContents"/>
              <w:bidi w:val="0"/>
              <w:spacing w:before="0" w:after="0"/>
              <w:jc w:val="left"/>
              <w:rPr>
                <w:rFonts w:ascii="arial" w:hAnsi="arial"/>
                <w:sz w:val="20"/>
              </w:rPr>
            </w:pPr>
            <w:r>
              <w:rPr>
                <w:rFonts w:ascii="arial" w:hAnsi="arial"/>
                <w:sz w:val="20"/>
              </w:rPr>
              <w:t>Yuling Luo, Ph.D.</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1/16/2025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1/16/2025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1,033,912</w:t>
            </w:r>
          </w:p>
        </w:tc>
        <w:tc>
          <w:tcPr>
            <w:tcW w:w="620" w:type="dxa"/>
            <w:tcBorders/>
            <w:shd w:fill="CCEEFF" w:val="clear"/>
            <w:vAlign w:val="bottom"/>
          </w:tcPr>
          <w:p>
            <w:pPr>
              <w:pStyle w:val="TableContents"/>
              <w:bidi w:val="0"/>
              <w:spacing w:before="0" w:after="283"/>
              <w:jc w:val="left"/>
              <w:rPr/>
            </w:pPr>
            <w:r>
              <w:rPr/>
              <w:t>(2)(3) </w:t>
            </w:r>
          </w:p>
        </w:tc>
        <w:tc>
          <w:tcPr>
            <w:tcW w:w="16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1/15/2035</w:t>
            </w:r>
          </w:p>
        </w:tc>
        <w:tc>
          <w:tcPr>
            <w:tcW w:w="84" w:type="dxa"/>
            <w:tcBorders/>
            <w:shd w:fill="CCEEFF" w:val="clear"/>
            <w:vAlign w:val="bottom"/>
          </w:tcPr>
          <w:p>
            <w:pPr>
              <w:pStyle w:val="TableContents"/>
              <w:bidi w:val="0"/>
              <w:spacing w:before="0" w:after="283"/>
              <w:jc w:val="left"/>
              <w:rPr/>
            </w:pPr>
            <w:r>
              <w:rPr/>
              <w:t> </w:t>
            </w:r>
          </w:p>
        </w:tc>
      </w:tr>
      <w:tr>
        <w:trPr/>
        <w:tc>
          <w:tcPr>
            <w:tcW w:w="1178"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1/16/2025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1/1/2025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37,086</w:t>
            </w:r>
          </w:p>
        </w:tc>
        <w:tc>
          <w:tcPr>
            <w:tcW w:w="620" w:type="dxa"/>
            <w:tcBorders/>
            <w:vAlign w:val="bottom"/>
          </w:tcPr>
          <w:p>
            <w:pPr>
              <w:pStyle w:val="TableContents"/>
              <w:bidi w:val="0"/>
              <w:spacing w:before="0" w:after="283"/>
              <w:jc w:val="left"/>
              <w:rPr/>
            </w:pPr>
            <w:r>
              <w:rPr/>
              <w:t>(2)(4) </w:t>
            </w:r>
          </w:p>
        </w:tc>
        <w:tc>
          <w:tcPr>
            <w:tcW w:w="16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1/15/2035</w:t>
            </w:r>
          </w:p>
        </w:tc>
        <w:tc>
          <w:tcPr>
            <w:tcW w:w="84" w:type="dxa"/>
            <w:tcBorders/>
            <w:vAlign w:val="bottom"/>
          </w:tcPr>
          <w:p>
            <w:pPr>
              <w:pStyle w:val="TableContents"/>
              <w:bidi w:val="0"/>
              <w:spacing w:before="0" w:after="283"/>
              <w:jc w:val="left"/>
              <w:rPr/>
            </w:pPr>
            <w:r>
              <w:rPr/>
              <w:t> </w:t>
            </w:r>
          </w:p>
        </w:tc>
      </w:tr>
      <w:tr>
        <w:trPr/>
        <w:tc>
          <w:tcPr>
            <w:tcW w:w="1178"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4/17/2024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1/1/2024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27,700</w:t>
            </w:r>
          </w:p>
        </w:tc>
        <w:tc>
          <w:tcPr>
            <w:tcW w:w="620" w:type="dxa"/>
            <w:tcBorders/>
            <w:shd w:fill="CCEEFF" w:val="clear"/>
            <w:vAlign w:val="bottom"/>
          </w:tcPr>
          <w:p>
            <w:pPr>
              <w:pStyle w:val="TableContents"/>
              <w:bidi w:val="0"/>
              <w:spacing w:before="0" w:after="283"/>
              <w:jc w:val="left"/>
              <w:rPr/>
            </w:pPr>
            <w:r>
              <w:rPr/>
              <w:t>(2)(5) </w:t>
            </w:r>
          </w:p>
        </w:tc>
        <w:tc>
          <w:tcPr>
            <w:tcW w:w="16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4/16/2034</w:t>
            </w:r>
          </w:p>
        </w:tc>
        <w:tc>
          <w:tcPr>
            <w:tcW w:w="84" w:type="dxa"/>
            <w:tcBorders/>
            <w:shd w:fill="CCEEFF" w:val="clear"/>
            <w:vAlign w:val="bottom"/>
          </w:tcPr>
          <w:p>
            <w:pPr>
              <w:pStyle w:val="TableContents"/>
              <w:bidi w:val="0"/>
              <w:spacing w:before="0" w:after="283"/>
              <w:jc w:val="left"/>
              <w:rPr/>
            </w:pPr>
            <w:r>
              <w:rPr/>
              <w:t> </w:t>
            </w:r>
          </w:p>
        </w:tc>
      </w:tr>
      <w:tr>
        <w:trPr/>
        <w:tc>
          <w:tcPr>
            <w:tcW w:w="1178"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4/25/2023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1/1/2023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17,459</w:t>
            </w:r>
          </w:p>
        </w:tc>
        <w:tc>
          <w:tcPr>
            <w:tcW w:w="620" w:type="dxa"/>
            <w:tcBorders/>
            <w:vAlign w:val="bottom"/>
          </w:tcPr>
          <w:p>
            <w:pPr>
              <w:pStyle w:val="TableContents"/>
              <w:bidi w:val="0"/>
              <w:spacing w:before="0" w:after="283"/>
              <w:jc w:val="left"/>
              <w:rPr/>
            </w:pPr>
            <w:r>
              <w:rPr/>
              <w:t>(6) </w:t>
            </w:r>
          </w:p>
        </w:tc>
        <w:tc>
          <w:tcPr>
            <w:tcW w:w="16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4/24/2033</w:t>
            </w:r>
          </w:p>
        </w:tc>
        <w:tc>
          <w:tcPr>
            <w:tcW w:w="84" w:type="dxa"/>
            <w:tcBorders/>
            <w:vAlign w:val="bottom"/>
          </w:tcPr>
          <w:p>
            <w:pPr>
              <w:pStyle w:val="TableContents"/>
              <w:bidi w:val="0"/>
              <w:spacing w:before="0" w:after="283"/>
              <w:jc w:val="left"/>
              <w:rPr/>
            </w:pPr>
            <w:r>
              <w:rPr/>
              <w:t> </w:t>
            </w:r>
          </w:p>
        </w:tc>
      </w:tr>
      <w:tr>
        <w:trPr/>
        <w:tc>
          <w:tcPr>
            <w:tcW w:w="1178"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4/25/2023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1/1/2023</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2,564</w:t>
            </w:r>
          </w:p>
        </w:tc>
        <w:tc>
          <w:tcPr>
            <w:tcW w:w="620" w:type="dxa"/>
            <w:tcBorders/>
            <w:shd w:fill="CCEEFF" w:val="clear"/>
            <w:vAlign w:val="bottom"/>
          </w:tcPr>
          <w:p>
            <w:pPr>
              <w:pStyle w:val="TableContents"/>
              <w:bidi w:val="0"/>
              <w:spacing w:before="0" w:after="283"/>
              <w:jc w:val="left"/>
              <w:rPr/>
            </w:pPr>
            <w:r>
              <w:rPr/>
              <w:t>(6) </w:t>
            </w:r>
          </w:p>
        </w:tc>
        <w:tc>
          <w:tcPr>
            <w:tcW w:w="16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4/24/2033</w:t>
            </w:r>
          </w:p>
        </w:tc>
        <w:tc>
          <w:tcPr>
            <w:tcW w:w="84" w:type="dxa"/>
            <w:tcBorders/>
            <w:shd w:fill="CCEEFF" w:val="clear"/>
            <w:vAlign w:val="bottom"/>
          </w:tcPr>
          <w:p>
            <w:pPr>
              <w:pStyle w:val="TableContents"/>
              <w:bidi w:val="0"/>
              <w:spacing w:before="0" w:after="283"/>
              <w:jc w:val="left"/>
              <w:rPr/>
            </w:pPr>
            <w:r>
              <w:rPr/>
              <w:t> </w:t>
            </w:r>
          </w:p>
        </w:tc>
      </w:tr>
      <w:tr>
        <w:trPr/>
        <w:tc>
          <w:tcPr>
            <w:tcW w:w="1178"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1/18/2023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1/1/2023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23,986</w:t>
            </w:r>
          </w:p>
        </w:tc>
        <w:tc>
          <w:tcPr>
            <w:tcW w:w="620" w:type="dxa"/>
            <w:tcBorders/>
            <w:vAlign w:val="bottom"/>
          </w:tcPr>
          <w:p>
            <w:pPr>
              <w:pStyle w:val="TableContents"/>
              <w:bidi w:val="0"/>
              <w:spacing w:before="0" w:after="283"/>
              <w:jc w:val="left"/>
              <w:rPr/>
            </w:pPr>
            <w:r>
              <w:rPr/>
              <w:t>(2)(7) </w:t>
            </w:r>
          </w:p>
        </w:tc>
        <w:tc>
          <w:tcPr>
            <w:tcW w:w="16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1/17/2033</w:t>
            </w:r>
          </w:p>
        </w:tc>
        <w:tc>
          <w:tcPr>
            <w:tcW w:w="84" w:type="dxa"/>
            <w:tcBorders/>
            <w:vAlign w:val="bottom"/>
          </w:tcPr>
          <w:p>
            <w:pPr>
              <w:pStyle w:val="TableContents"/>
              <w:bidi w:val="0"/>
              <w:spacing w:before="0" w:after="283"/>
              <w:jc w:val="left"/>
              <w:rPr/>
            </w:pPr>
            <w:r>
              <w:rPr/>
              <w:t> </w:t>
            </w:r>
          </w:p>
        </w:tc>
      </w:tr>
      <w:tr>
        <w:trPr/>
        <w:tc>
          <w:tcPr>
            <w:tcW w:w="1178"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2/16/2022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7/1/2022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266,311</w:t>
            </w:r>
          </w:p>
        </w:tc>
        <w:tc>
          <w:tcPr>
            <w:tcW w:w="620" w:type="dxa"/>
            <w:tcBorders/>
            <w:shd w:fill="CCEEFF" w:val="clear"/>
            <w:vAlign w:val="bottom"/>
          </w:tcPr>
          <w:p>
            <w:pPr>
              <w:pStyle w:val="TableContents"/>
              <w:bidi w:val="0"/>
              <w:spacing w:before="0" w:after="283"/>
              <w:jc w:val="left"/>
              <w:rPr/>
            </w:pPr>
            <w:r>
              <w:rPr/>
              <w:t>(6) </w:t>
            </w:r>
          </w:p>
        </w:tc>
        <w:tc>
          <w:tcPr>
            <w:tcW w:w="16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2.51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2/15/2027</w:t>
            </w:r>
          </w:p>
        </w:tc>
        <w:tc>
          <w:tcPr>
            <w:tcW w:w="84" w:type="dxa"/>
            <w:tcBorders/>
            <w:shd w:fill="CCEEFF" w:val="clear"/>
            <w:vAlign w:val="bottom"/>
          </w:tcPr>
          <w:p>
            <w:pPr>
              <w:pStyle w:val="TableContents"/>
              <w:bidi w:val="0"/>
              <w:spacing w:before="0" w:after="283"/>
              <w:jc w:val="left"/>
              <w:rPr/>
            </w:pPr>
            <w:r>
              <w:rPr/>
              <w:t> </w:t>
            </w:r>
          </w:p>
        </w:tc>
      </w:tr>
      <w:tr>
        <w:trPr/>
        <w:tc>
          <w:tcPr>
            <w:tcW w:w="1178"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2/16/2022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1/1/2022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25,310</w:t>
            </w:r>
          </w:p>
        </w:tc>
        <w:tc>
          <w:tcPr>
            <w:tcW w:w="620" w:type="dxa"/>
            <w:tcBorders/>
            <w:vAlign w:val="bottom"/>
          </w:tcPr>
          <w:p>
            <w:pPr>
              <w:pStyle w:val="TableContents"/>
              <w:bidi w:val="0"/>
              <w:spacing w:before="0" w:after="283"/>
              <w:jc w:val="left"/>
              <w:rPr/>
            </w:pPr>
            <w:r>
              <w:rPr/>
              <w:t>(6) </w:t>
            </w:r>
          </w:p>
        </w:tc>
        <w:tc>
          <w:tcPr>
            <w:tcW w:w="16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2.51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2/15/2027</w:t>
            </w:r>
          </w:p>
        </w:tc>
        <w:tc>
          <w:tcPr>
            <w:tcW w:w="84" w:type="dxa"/>
            <w:tcBorders/>
            <w:vAlign w:val="bottom"/>
          </w:tcPr>
          <w:p>
            <w:pPr>
              <w:pStyle w:val="TableContents"/>
              <w:bidi w:val="0"/>
              <w:spacing w:before="0" w:after="283"/>
              <w:jc w:val="left"/>
              <w:rPr/>
            </w:pPr>
            <w:r>
              <w:rPr/>
              <w:t> </w:t>
            </w:r>
          </w:p>
        </w:tc>
      </w:tr>
      <w:tr>
        <w:trPr/>
        <w:tc>
          <w:tcPr>
            <w:tcW w:w="1178" w:type="dxa"/>
            <w:tcBorders/>
            <w:shd w:fill="CCEEFF" w:val="clear"/>
          </w:tcPr>
          <w:p>
            <w:pPr>
              <w:pStyle w:val="TableContents"/>
              <w:bidi w:val="0"/>
              <w:spacing w:before="0" w:after="0"/>
              <w:jc w:val="left"/>
              <w:rPr>
                <w:rFonts w:ascii="arial" w:hAnsi="arial"/>
                <w:sz w:val="20"/>
              </w:rPr>
            </w:pPr>
            <w:r>
              <w:rPr>
                <w:rFonts w:ascii="arial" w:hAnsi="arial"/>
                <w:sz w:val="20"/>
              </w:rPr>
              <w:t>Justin McAnear</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10/15/2025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10/13/2025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jc w:val="left"/>
              <w:rPr/>
            </w:pPr>
            <w:r>
              <w:rPr/>
              <w:t>(8) </w:t>
            </w:r>
          </w:p>
        </w:tc>
        <w:tc>
          <w:tcPr>
            <w:tcW w:w="16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570,719</w:t>
            </w:r>
          </w:p>
        </w:tc>
        <w:tc>
          <w:tcPr>
            <w:tcW w:w="5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4.62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10/14/2035</w:t>
            </w:r>
          </w:p>
        </w:tc>
        <w:tc>
          <w:tcPr>
            <w:tcW w:w="84" w:type="dxa"/>
            <w:tcBorders/>
            <w:shd w:fill="CCEEFF" w:val="clear"/>
            <w:vAlign w:val="bottom"/>
          </w:tcPr>
          <w:p>
            <w:pPr>
              <w:pStyle w:val="TableContents"/>
              <w:bidi w:val="0"/>
              <w:spacing w:before="0" w:after="283"/>
              <w:jc w:val="left"/>
              <w:rPr/>
            </w:pPr>
            <w:r>
              <w:rPr/>
              <w:t> </w:t>
            </w:r>
          </w:p>
        </w:tc>
      </w:tr>
      <w:tr>
        <w:trPr/>
        <w:tc>
          <w:tcPr>
            <w:tcW w:w="1178" w:type="dxa"/>
            <w:tcBorders/>
          </w:tcPr>
          <w:p>
            <w:pPr>
              <w:pStyle w:val="TableContents"/>
              <w:bidi w:val="0"/>
              <w:spacing w:before="0" w:after="0"/>
              <w:jc w:val="left"/>
              <w:rPr>
                <w:rFonts w:ascii="arial" w:hAnsi="arial"/>
                <w:sz w:val="20"/>
              </w:rPr>
            </w:pPr>
            <w:r>
              <w:rPr>
                <w:rFonts w:ascii="arial" w:hAnsi="arial"/>
                <w:sz w:val="20"/>
              </w:rPr>
              <w:t>Shiping “Steve” Chen, Ph.D.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1/16/2025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1/16/2025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413,564</w:t>
            </w:r>
          </w:p>
        </w:tc>
        <w:tc>
          <w:tcPr>
            <w:tcW w:w="620" w:type="dxa"/>
            <w:tcBorders/>
            <w:vAlign w:val="bottom"/>
          </w:tcPr>
          <w:p>
            <w:pPr>
              <w:pStyle w:val="TableContents"/>
              <w:bidi w:val="0"/>
              <w:spacing w:before="0" w:after="283"/>
              <w:jc w:val="left"/>
              <w:rPr/>
            </w:pPr>
            <w:r>
              <w:rPr/>
              <w:t>(2)(9) </w:t>
            </w:r>
          </w:p>
        </w:tc>
        <w:tc>
          <w:tcPr>
            <w:tcW w:w="16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1/15/2035</w:t>
            </w:r>
          </w:p>
        </w:tc>
        <w:tc>
          <w:tcPr>
            <w:tcW w:w="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097"/>
        <w:gridCol w:w="152"/>
        <w:gridCol w:w="60"/>
        <w:gridCol w:w="629"/>
        <w:gridCol w:w="60"/>
        <w:gridCol w:w="152"/>
        <w:gridCol w:w="165"/>
        <w:gridCol w:w="1411"/>
        <w:gridCol w:w="60"/>
        <w:gridCol w:w="134"/>
        <w:gridCol w:w="87"/>
        <w:gridCol w:w="1116"/>
        <w:gridCol w:w="741"/>
        <w:gridCol w:w="93"/>
        <w:gridCol w:w="291"/>
        <w:gridCol w:w="1271"/>
        <w:gridCol w:w="59"/>
        <w:gridCol w:w="152"/>
        <w:gridCol w:w="237"/>
        <w:gridCol w:w="782"/>
        <w:gridCol w:w="60"/>
        <w:gridCol w:w="134"/>
        <w:gridCol w:w="113"/>
        <w:gridCol w:w="1061"/>
        <w:gridCol w:w="88"/>
      </w:tblGrid>
      <w:tr>
        <w:trPr/>
        <w:tc>
          <w:tcPr>
            <w:tcW w:w="109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097" w:type="dxa"/>
            <w:tcBorders>
              <w:top w:val="single" w:sz="16" w:space="0" w:color="000000"/>
            </w:tcBorders>
            <w:tcMar>
              <w:top w:w="28" w:type="dxa"/>
            </w:tcMar>
            <w:vAlign w:val="center"/>
          </w:tcPr>
          <w:p>
            <w:pPr>
              <w:pStyle w:val="TableContents"/>
              <w:bidi w:val="0"/>
              <w:spacing w:before="0" w:after="283"/>
              <w:jc w:val="left"/>
              <w:rPr/>
            </w:pPr>
            <w:r>
              <w:rPr/>
              <w:t> </w:t>
            </w:r>
          </w:p>
        </w:tc>
        <w:tc>
          <w:tcPr>
            <w:tcW w:w="90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8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7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1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097" w:type="dxa"/>
            <w:tcBorders>
              <w:bottom w:val="single" w:sz="2" w:space="0" w:color="000000"/>
            </w:tcBorders>
            <w:tcMar>
              <w:bottom w:w="60" w:type="dxa"/>
            </w:tcMar>
            <w:vAlign w:val="bottom"/>
          </w:tcPr>
          <w:p>
            <w:pPr>
              <w:pStyle w:val="TableContents"/>
              <w:bidi w:val="0"/>
              <w:spacing w:before="0" w:after="283"/>
              <w:jc w:val="left"/>
              <w:rPr>
                <w:b/>
              </w:rPr>
            </w:pPr>
            <w:r>
              <w:rPr>
                <w:b/>
              </w:rPr>
              <w:t>Name</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689"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Grant</w:t>
            </w:r>
          </w:p>
          <w:p>
            <w:pPr>
              <w:pStyle w:val="TableContents"/>
              <w:bidi w:val="0"/>
              <w:spacing w:before="0" w:after="20"/>
              <w:jc w:val="right"/>
              <w:rPr>
                <w:rFonts w:ascii="arial" w:hAnsi="arial"/>
                <w:b/>
                <w:sz w:val="18"/>
              </w:rPr>
            </w:pPr>
            <w:r>
              <w:rPr>
                <w:rFonts w:ascii="arial" w:hAnsi="arial"/>
                <w:b/>
                <w:sz w:val="18"/>
              </w:rPr>
              <w:t>date(1)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1576"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Vesting</w:t>
            </w:r>
          </w:p>
          <w:p>
            <w:pPr>
              <w:pStyle w:val="TableContents"/>
              <w:bidi w:val="0"/>
              <w:spacing w:before="0" w:after="0"/>
              <w:jc w:val="right"/>
              <w:rPr>
                <w:rFonts w:ascii="arial" w:hAnsi="arial"/>
                <w:b/>
                <w:sz w:val="18"/>
              </w:rPr>
            </w:pPr>
            <w:r>
              <w:rPr>
                <w:rFonts w:ascii="arial" w:hAnsi="arial"/>
                <w:b/>
                <w:sz w:val="18"/>
              </w:rPr>
              <w:t>commencement</w:t>
            </w:r>
          </w:p>
          <w:p>
            <w:pPr>
              <w:pStyle w:val="TableContents"/>
              <w:bidi w:val="0"/>
              <w:spacing w:before="0" w:after="20"/>
              <w:jc w:val="right"/>
              <w:rPr>
                <w:rFonts w:ascii="arial" w:hAnsi="arial"/>
                <w:b/>
                <w:sz w:val="18"/>
              </w:rPr>
            </w:pPr>
            <w:r>
              <w:rPr>
                <w:rFonts w:ascii="arial" w:hAnsi="arial"/>
                <w:b/>
                <w:sz w:val="18"/>
              </w:rP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1203"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Number of</w:t>
            </w:r>
          </w:p>
          <w:p>
            <w:pPr>
              <w:pStyle w:val="TableContents"/>
              <w:bidi w:val="0"/>
              <w:spacing w:before="0" w:after="0"/>
              <w:jc w:val="right"/>
              <w:rPr>
                <w:rFonts w:ascii="arial" w:hAnsi="arial"/>
                <w:b/>
                <w:sz w:val="18"/>
              </w:rPr>
            </w:pPr>
            <w:r>
              <w:rPr>
                <w:rFonts w:ascii="arial" w:hAnsi="arial"/>
                <w:b/>
                <w:sz w:val="18"/>
              </w:rPr>
              <w:t>securities</w:t>
            </w:r>
          </w:p>
          <w:p>
            <w:pPr>
              <w:pStyle w:val="TableContents"/>
              <w:bidi w:val="0"/>
              <w:spacing w:before="0" w:after="0"/>
              <w:jc w:val="right"/>
              <w:rPr>
                <w:rFonts w:ascii="arial" w:hAnsi="arial"/>
                <w:b/>
                <w:sz w:val="18"/>
              </w:rPr>
            </w:pPr>
            <w:r>
              <w:rPr>
                <w:rFonts w:ascii="arial" w:hAnsi="arial"/>
                <w:b/>
                <w:sz w:val="18"/>
              </w:rPr>
              <w:t>underlying</w:t>
            </w:r>
          </w:p>
          <w:p>
            <w:pPr>
              <w:pStyle w:val="TableContents"/>
              <w:bidi w:val="0"/>
              <w:spacing w:before="0" w:after="0"/>
              <w:jc w:val="right"/>
              <w:rPr>
                <w:rFonts w:ascii="arial" w:hAnsi="arial"/>
                <w:b/>
                <w:sz w:val="18"/>
              </w:rPr>
            </w:pPr>
            <w:r>
              <w:rPr>
                <w:rFonts w:ascii="arial" w:hAnsi="arial"/>
                <w:b/>
                <w:sz w:val="18"/>
              </w:rPr>
              <w:t>unexercised</w:t>
            </w:r>
          </w:p>
          <w:p>
            <w:pPr>
              <w:pStyle w:val="TableContents"/>
              <w:bidi w:val="0"/>
              <w:spacing w:before="0" w:after="0"/>
              <w:jc w:val="right"/>
              <w:rPr>
                <w:rFonts w:ascii="arial" w:hAnsi="arial"/>
                <w:b/>
                <w:sz w:val="18"/>
              </w:rPr>
            </w:pPr>
            <w:r>
              <w:rPr>
                <w:rFonts w:ascii="arial" w:hAnsi="arial"/>
                <w:b/>
                <w:sz w:val="18"/>
              </w:rPr>
              <w:t>options</w:t>
            </w:r>
          </w:p>
          <w:p>
            <w:pPr>
              <w:pStyle w:val="TableContents"/>
              <w:bidi w:val="0"/>
              <w:spacing w:before="0" w:after="20"/>
              <w:jc w:val="right"/>
              <w:rPr>
                <w:rFonts w:ascii="arial" w:hAnsi="arial"/>
                <w:b/>
                <w:sz w:val="18"/>
              </w:rPr>
            </w:pPr>
            <w:r>
              <w:rPr>
                <w:rFonts w:ascii="arial" w:hAnsi="arial"/>
                <w:b/>
                <w:sz w:val="18"/>
              </w:rPr>
              <w:t>exercisable</w:t>
            </w:r>
          </w:p>
        </w:tc>
        <w:tc>
          <w:tcPr>
            <w:tcW w:w="741"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1562" w:type="dxa"/>
            <w:gridSpan w:val="2"/>
            <w:tcBorders>
              <w:bottom w:val="single" w:sz="2" w:space="0" w:color="000000"/>
            </w:tcBorders>
            <w:tcMar>
              <w:bottom w:w="60" w:type="dxa"/>
            </w:tcMar>
            <w:vAlign w:val="bottom"/>
          </w:tcPr>
          <w:p>
            <w:pPr>
              <w:pStyle w:val="TableContents"/>
              <w:bidi w:val="0"/>
              <w:spacing w:before="0" w:after="283"/>
              <w:jc w:val="right"/>
              <w:rPr>
                <w:b/>
              </w:rPr>
            </w:pPr>
            <w:r>
              <w:rPr>
                <w:b/>
              </w:rPr>
              <w:t>Number of</w:t>
              <w:br/>
              <w:t>securities</w:t>
              <w:br/>
              <w:t>underlying</w:t>
              <w:br/>
              <w:t>unexercised</w:t>
              <w:br/>
              <w:t>options</w:t>
              <w:br/>
              <w:t>unexercisable</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1019"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exercise</w:t>
              <w:br/>
              <w:t>price per</w:t>
              <w:br/>
              <w:t>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1174"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expiration</w:t>
              <w:br/>
              <w:t>date</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97"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1/16/2025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1/1/2025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10,679</w:t>
            </w:r>
          </w:p>
        </w:tc>
        <w:tc>
          <w:tcPr>
            <w:tcW w:w="741" w:type="dxa"/>
            <w:tcBorders/>
            <w:shd w:fill="CCEEFF" w:val="clear"/>
            <w:vAlign w:val="bottom"/>
          </w:tcPr>
          <w:p>
            <w:pPr>
              <w:pStyle w:val="TableContents"/>
              <w:bidi w:val="0"/>
              <w:spacing w:before="0" w:after="283"/>
              <w:jc w:val="left"/>
              <w:rPr/>
            </w:pPr>
            <w:r>
              <w:rPr/>
              <w:t>(2)(10) </w:t>
            </w:r>
          </w:p>
        </w:tc>
        <w:tc>
          <w:tcPr>
            <w:tcW w:w="9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1/15/2035</w:t>
            </w:r>
          </w:p>
        </w:tc>
        <w:tc>
          <w:tcPr>
            <w:tcW w:w="88" w:type="dxa"/>
            <w:tcBorders/>
            <w:shd w:fill="CCEEFF" w:val="clear"/>
            <w:vAlign w:val="bottom"/>
          </w:tcPr>
          <w:p>
            <w:pPr>
              <w:pStyle w:val="TableContents"/>
              <w:bidi w:val="0"/>
              <w:spacing w:before="0" w:after="283"/>
              <w:jc w:val="left"/>
              <w:rPr/>
            </w:pPr>
            <w:r>
              <w:rPr/>
              <w:t> </w:t>
            </w:r>
          </w:p>
        </w:tc>
      </w:tr>
      <w:tr>
        <w:trPr/>
        <w:tc>
          <w:tcPr>
            <w:tcW w:w="1097"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4/17/2024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1/1/2024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7,977</w:t>
            </w:r>
          </w:p>
        </w:tc>
        <w:tc>
          <w:tcPr>
            <w:tcW w:w="741" w:type="dxa"/>
            <w:tcBorders/>
            <w:vAlign w:val="bottom"/>
          </w:tcPr>
          <w:p>
            <w:pPr>
              <w:pStyle w:val="TableContents"/>
              <w:bidi w:val="0"/>
              <w:spacing w:before="0" w:after="283"/>
              <w:jc w:val="left"/>
              <w:rPr/>
            </w:pPr>
            <w:r>
              <w:rPr/>
              <w:t>(2)(11) </w:t>
            </w:r>
          </w:p>
        </w:tc>
        <w:tc>
          <w:tcPr>
            <w:tcW w:w="9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4/16/2034</w:t>
            </w:r>
          </w:p>
        </w:tc>
        <w:tc>
          <w:tcPr>
            <w:tcW w:w="88" w:type="dxa"/>
            <w:tcBorders/>
            <w:vAlign w:val="bottom"/>
          </w:tcPr>
          <w:p>
            <w:pPr>
              <w:pStyle w:val="TableContents"/>
              <w:bidi w:val="0"/>
              <w:spacing w:before="0" w:after="283"/>
              <w:jc w:val="left"/>
              <w:rPr/>
            </w:pPr>
            <w:r>
              <w:rPr/>
              <w:t> </w:t>
            </w:r>
          </w:p>
        </w:tc>
      </w:tr>
      <w:tr>
        <w:trPr/>
        <w:tc>
          <w:tcPr>
            <w:tcW w:w="1097"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4/25/2023</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1/1/2023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12,526</w:t>
            </w:r>
          </w:p>
        </w:tc>
        <w:tc>
          <w:tcPr>
            <w:tcW w:w="741" w:type="dxa"/>
            <w:tcBorders/>
            <w:shd w:fill="CCEEFF" w:val="clear"/>
            <w:vAlign w:val="bottom"/>
          </w:tcPr>
          <w:p>
            <w:pPr>
              <w:pStyle w:val="TableContents"/>
              <w:bidi w:val="0"/>
              <w:spacing w:before="0" w:after="283"/>
              <w:jc w:val="left"/>
              <w:rPr/>
            </w:pPr>
            <w:r>
              <w:rPr/>
              <w:t>(6) </w:t>
            </w:r>
          </w:p>
        </w:tc>
        <w:tc>
          <w:tcPr>
            <w:tcW w:w="9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4/24/2033</w:t>
            </w:r>
          </w:p>
        </w:tc>
        <w:tc>
          <w:tcPr>
            <w:tcW w:w="88" w:type="dxa"/>
            <w:tcBorders/>
            <w:shd w:fill="CCEEFF" w:val="clear"/>
            <w:vAlign w:val="bottom"/>
          </w:tcPr>
          <w:p>
            <w:pPr>
              <w:pStyle w:val="TableContents"/>
              <w:bidi w:val="0"/>
              <w:spacing w:before="0" w:after="283"/>
              <w:jc w:val="left"/>
              <w:rPr/>
            </w:pPr>
            <w:r>
              <w:rPr/>
              <w:t> </w:t>
            </w:r>
          </w:p>
        </w:tc>
      </w:tr>
      <w:tr>
        <w:trPr/>
        <w:tc>
          <w:tcPr>
            <w:tcW w:w="1097"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1/18/2023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1/1/2023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7,568</w:t>
            </w:r>
          </w:p>
        </w:tc>
        <w:tc>
          <w:tcPr>
            <w:tcW w:w="741" w:type="dxa"/>
            <w:tcBorders/>
            <w:vAlign w:val="bottom"/>
          </w:tcPr>
          <w:p>
            <w:pPr>
              <w:pStyle w:val="TableContents"/>
              <w:bidi w:val="0"/>
              <w:spacing w:before="0" w:after="283"/>
              <w:jc w:val="left"/>
              <w:rPr/>
            </w:pPr>
            <w:r>
              <w:rPr/>
              <w:t>(2)(12) </w:t>
            </w:r>
          </w:p>
        </w:tc>
        <w:tc>
          <w:tcPr>
            <w:tcW w:w="9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1.53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1/17/2033</w:t>
            </w:r>
          </w:p>
        </w:tc>
        <w:tc>
          <w:tcPr>
            <w:tcW w:w="88" w:type="dxa"/>
            <w:tcBorders/>
            <w:vAlign w:val="bottom"/>
          </w:tcPr>
          <w:p>
            <w:pPr>
              <w:pStyle w:val="TableContents"/>
              <w:bidi w:val="0"/>
              <w:spacing w:before="0" w:after="283"/>
              <w:jc w:val="left"/>
              <w:rPr/>
            </w:pPr>
            <w:r>
              <w:rPr/>
              <w:t> </w:t>
            </w:r>
          </w:p>
        </w:tc>
      </w:tr>
      <w:tr>
        <w:trPr/>
        <w:tc>
          <w:tcPr>
            <w:tcW w:w="1097"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2/16/2022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8/13/2022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83,783</w:t>
            </w:r>
          </w:p>
        </w:tc>
        <w:tc>
          <w:tcPr>
            <w:tcW w:w="741" w:type="dxa"/>
            <w:tcBorders/>
            <w:shd w:fill="CCEEFF" w:val="clear"/>
            <w:vAlign w:val="bottom"/>
          </w:tcPr>
          <w:p>
            <w:pPr>
              <w:pStyle w:val="TableContents"/>
              <w:bidi w:val="0"/>
              <w:spacing w:before="0" w:after="283"/>
              <w:jc w:val="left"/>
              <w:rPr/>
            </w:pPr>
            <w:r>
              <w:rPr/>
              <w:t>(2)(6) </w:t>
            </w:r>
          </w:p>
        </w:tc>
        <w:tc>
          <w:tcPr>
            <w:tcW w:w="9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2.28</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2/15/2032</w:t>
            </w:r>
          </w:p>
        </w:tc>
        <w:tc>
          <w:tcPr>
            <w:tcW w:w="88" w:type="dxa"/>
            <w:tcBorders/>
            <w:shd w:fill="CCEEFF" w:val="clear"/>
            <w:vAlign w:val="bottom"/>
          </w:tcPr>
          <w:p>
            <w:pPr>
              <w:pStyle w:val="TableContents"/>
              <w:bidi w:val="0"/>
              <w:spacing w:before="0" w:after="283"/>
              <w:jc w:val="left"/>
              <w:rPr/>
            </w:pPr>
            <w:r>
              <w:rPr/>
              <w:t> </w:t>
            </w:r>
          </w:p>
        </w:tc>
      </w:tr>
      <w:tr>
        <w:trPr/>
        <w:tc>
          <w:tcPr>
            <w:tcW w:w="1097"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2/16/2022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1/1/2022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7,981</w:t>
            </w:r>
          </w:p>
        </w:tc>
        <w:tc>
          <w:tcPr>
            <w:tcW w:w="741" w:type="dxa"/>
            <w:tcBorders/>
            <w:vAlign w:val="bottom"/>
          </w:tcPr>
          <w:p>
            <w:pPr>
              <w:pStyle w:val="TableContents"/>
              <w:bidi w:val="0"/>
              <w:spacing w:before="0" w:after="283"/>
              <w:jc w:val="left"/>
              <w:rPr/>
            </w:pPr>
            <w:r>
              <w:rPr/>
              <w:t>(2)(6) </w:t>
            </w:r>
          </w:p>
        </w:tc>
        <w:tc>
          <w:tcPr>
            <w:tcW w:w="9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2.28</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2/15/2032</w:t>
            </w:r>
          </w:p>
        </w:tc>
        <w:tc>
          <w:tcPr>
            <w:tcW w:w="88" w:type="dxa"/>
            <w:tcBorders/>
            <w:vAlign w:val="bottom"/>
          </w:tcPr>
          <w:p>
            <w:pPr>
              <w:pStyle w:val="TableContents"/>
              <w:bidi w:val="0"/>
              <w:spacing w:before="0" w:after="283"/>
              <w:jc w:val="left"/>
              <w:rPr/>
            </w:pPr>
            <w:r>
              <w:rPr/>
              <w:t> </w:t>
            </w:r>
          </w:p>
        </w:tc>
      </w:tr>
      <w:tr>
        <w:trPr/>
        <w:tc>
          <w:tcPr>
            <w:tcW w:w="10117" w:type="dxa"/>
            <w:gridSpan w:val="24"/>
            <w:tcBorders/>
          </w:tcPr>
          <w:p>
            <w:pPr>
              <w:pStyle w:val="TableContents"/>
              <w:pBdr>
                <w:bottom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All equity awards listed in this table were granted pursuant to the 2018 Plan, the terms of which are described below under “—Employee benefit plans—2018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7"/>
        <w:gridCol w:w="9875"/>
      </w:tblGrid>
      <w:tr>
        <w:trPr/>
        <w:tc>
          <w:tcPr>
            <w:tcW w:w="223" w:type="dxa"/>
            <w:tcBorders/>
          </w:tcPr>
          <w:p>
            <w:pPr>
              <w:pStyle w:val="TableContents"/>
              <w:bidi w:val="0"/>
              <w:spacing w:before="0" w:after="283"/>
              <w:jc w:val="left"/>
              <w:rPr/>
            </w:pPr>
            <w:r>
              <w:rPr/>
              <w:t>(2)</w:t>
            </w:r>
          </w:p>
        </w:tc>
        <w:tc>
          <w:tcPr>
            <w:tcW w:w="107"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This option is early exercisable and to the extent any of such shares are unvested as of a given date, any purchased shares will remain subject to a right of repurchase by us upon the termination of the service of the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(3)</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236,937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(4)</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9,271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(5)</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13,850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Fully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(7)</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17,990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(8)</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1/4th of the total shares subject to this option will vest one year after the vesting commencement date, and thereafter 1/36th of the shares subject to this option will vest on each monthly anniversary thereof, subject to continuous service through each such date. As of December 31, 2025, no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(9)</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94,775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0"/>
        <w:gridCol w:w="9746"/>
      </w:tblGrid>
      <w:tr>
        <w:trPr/>
        <w:tc>
          <w:tcPr>
            <w:tcW w:w="339" w:type="dxa"/>
            <w:tcBorders/>
          </w:tcPr>
          <w:p>
            <w:pPr>
              <w:pStyle w:val="TableContents"/>
              <w:bidi w:val="0"/>
              <w:spacing w:before="0" w:after="283"/>
              <w:jc w:val="left"/>
              <w:rPr/>
            </w:pPr>
            <w:r>
              <w:rPr/>
              <w:t>(10)</w:t>
            </w:r>
          </w:p>
        </w:tc>
        <w:tc>
          <w:tcPr>
            <w:tcW w:w="120" w:type="dxa"/>
            <w:tcBorders/>
          </w:tcPr>
          <w:p>
            <w:pPr>
              <w:pStyle w:val="TableContents"/>
              <w:bidi w:val="0"/>
              <w:spacing w:before="0" w:after="283"/>
              <w:jc w:val="left"/>
              <w:rPr/>
            </w:pPr>
            <w:r>
              <w:rPr/>
              <w:t> </w:t>
            </w:r>
          </w:p>
        </w:tc>
        <w:tc>
          <w:tcPr>
            <w:tcW w:w="9746"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2,669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0"/>
        <w:gridCol w:w="9746"/>
      </w:tblGrid>
      <w:tr>
        <w:trPr/>
        <w:tc>
          <w:tcPr>
            <w:tcW w:w="339" w:type="dxa"/>
            <w:tcBorders/>
          </w:tcPr>
          <w:p>
            <w:pPr>
              <w:pStyle w:val="TableContents"/>
              <w:bidi w:val="0"/>
              <w:spacing w:before="0" w:after="283"/>
              <w:jc w:val="left"/>
              <w:rPr/>
            </w:pPr>
            <w:r>
              <w:rPr/>
              <w:t>(11)</w:t>
            </w:r>
          </w:p>
        </w:tc>
        <w:tc>
          <w:tcPr>
            <w:tcW w:w="120" w:type="dxa"/>
            <w:tcBorders/>
          </w:tcPr>
          <w:p>
            <w:pPr>
              <w:pStyle w:val="TableContents"/>
              <w:bidi w:val="0"/>
              <w:spacing w:before="0" w:after="283"/>
              <w:jc w:val="left"/>
              <w:rPr/>
            </w:pPr>
            <w:r>
              <w:rPr/>
              <w:t> </w:t>
            </w:r>
          </w:p>
        </w:tc>
        <w:tc>
          <w:tcPr>
            <w:tcW w:w="9746"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3,988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0"/>
        <w:gridCol w:w="9746"/>
      </w:tblGrid>
      <w:tr>
        <w:trPr/>
        <w:tc>
          <w:tcPr>
            <w:tcW w:w="339" w:type="dxa"/>
            <w:tcBorders/>
          </w:tcPr>
          <w:p>
            <w:pPr>
              <w:pStyle w:val="TableContents"/>
              <w:bidi w:val="0"/>
              <w:spacing w:before="0" w:after="283"/>
              <w:jc w:val="left"/>
              <w:rPr/>
            </w:pPr>
            <w:r>
              <w:rPr/>
              <w:t>(12)</w:t>
            </w:r>
          </w:p>
        </w:tc>
        <w:tc>
          <w:tcPr>
            <w:tcW w:w="120" w:type="dxa"/>
            <w:tcBorders/>
          </w:tcPr>
          <w:p>
            <w:pPr>
              <w:pStyle w:val="TableContents"/>
              <w:bidi w:val="0"/>
              <w:spacing w:before="0" w:after="283"/>
              <w:jc w:val="left"/>
              <w:rPr/>
            </w:pPr>
            <w:r>
              <w:rPr/>
              <w:t> </w:t>
            </w:r>
          </w:p>
        </w:tc>
        <w:tc>
          <w:tcPr>
            <w:tcW w:w="9746"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5,676 shares have vested. </w:t>
            </w:r>
          </w:p>
        </w:tc>
      </w:tr>
    </w:tbl>
    <w:p>
      <w:pPr>
        <w:pStyle w:val="TextBody"/>
        <w:bidi w:val="0"/>
        <w:spacing w:before="320" w:after="0"/>
        <w:jc w:val="left"/>
        <w:rPr>
          <w:rFonts w:ascii="arial" w:hAnsi="arial"/>
          <w:b/>
          <w:sz w:val="24"/>
        </w:rPr>
      </w:pPr>
      <w:r>
        <w:rPr>
          <w:rFonts w:ascii="arial" w:hAnsi="arial"/>
          <w:b/>
          <w:sz w:val="24"/>
        </w:rPr>
        <w:t xml:space="preserve">Employment arrangements with our named executive officers </w:t>
      </w:r>
    </w:p>
    <w:p>
      <w:pPr>
        <w:pStyle w:val="TextBody"/>
        <w:bidi w:val="0"/>
        <w:spacing w:before="160" w:after="0"/>
        <w:jc w:val="left"/>
        <w:rPr>
          <w:rFonts w:ascii="arial" w:hAnsi="arial"/>
          <w:sz w:val="20"/>
        </w:rPr>
      </w:pPr>
      <w:r>
        <w:rPr>
          <w:rFonts w:ascii="arial" w:hAnsi="arial"/>
          <w:sz w:val="20"/>
        </w:rPr>
        <w:t xml:space="preserve">We have offer letters with each of our named executive officers. The material terms of each of these offer letters are described below. These offer letters provide for base salaries and incentive compensation, and each component reflects the scope of each named executive officer’s anticipated responsibilities and the individual experience they bring to our company. The employment of each of our named executive officers is “at will” and may be terminated at any time. </w:t>
      </w:r>
    </w:p>
    <w:p>
      <w:pPr>
        <w:pStyle w:val="TextBody"/>
        <w:bidi w:val="0"/>
        <w:spacing w:before="320" w:after="0"/>
        <w:jc w:val="left"/>
        <w:rPr>
          <w:rFonts w:ascii="arial" w:hAnsi="arial"/>
          <w:i/>
          <w:sz w:val="20"/>
        </w:rPr>
      </w:pPr>
      <w:r>
        <w:rPr>
          <w:rFonts w:ascii="arial" w:hAnsi="arial"/>
          <w:i/>
          <w:sz w:val="20"/>
        </w:rPr>
        <w:t xml:space="preserve">Yuling Luo, Ph.D. </w:t>
      </w:r>
    </w:p>
    <w:p>
      <w:pPr>
        <w:pStyle w:val="TextBody"/>
        <w:bidi w:val="0"/>
        <w:spacing w:before="160" w:after="0"/>
        <w:jc w:val="left"/>
        <w:rPr>
          <w:rFonts w:ascii="arial" w:hAnsi="arial"/>
          <w:sz w:val="20"/>
        </w:rPr>
      </w:pPr>
      <w:r>
        <w:rPr>
          <w:rFonts w:ascii="arial" w:hAnsi="arial"/>
          <w:sz w:val="20"/>
        </w:rPr>
        <w:t xml:space="preserve">In April 2026, we entered into a confirmatory offer letter agreement with Yuling Luo, Ph.D. in connection with his services as Chief Executive Officer, which became effective upon the pricing of this offering. The agreement provides for an annual base salary of $695,000 and an annual discretionary bonus at a target amount of 100% of his base salary. The agreement also provides that Dr. Luo is eligible for severance benefits under the terms of our Severance Plan, the terms of which are described below. The confirmatory employment agreement supersedes all existing agreements and understandings Dr. Luo may have concerning his employment relationship with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Dr. Luo’s annual base salary as of December 31, 2025 was $483,475 and his target bonus was 30% of his base salary. </w:t>
      </w:r>
    </w:p>
    <w:p>
      <w:pPr>
        <w:pStyle w:val="TextBody"/>
        <w:bidi w:val="0"/>
        <w:spacing w:before="160" w:after="0"/>
        <w:jc w:val="left"/>
        <w:rPr>
          <w:rFonts w:ascii="arial" w:hAnsi="arial"/>
          <w:i/>
          <w:sz w:val="20"/>
        </w:rPr>
      </w:pPr>
      <w:r>
        <w:rPr>
          <w:rFonts w:ascii="arial" w:hAnsi="arial"/>
          <w:i/>
          <w:sz w:val="20"/>
        </w:rPr>
        <w:t xml:space="preserve">Justin McAnear </w:t>
      </w:r>
    </w:p>
    <w:p>
      <w:pPr>
        <w:pStyle w:val="TextBody"/>
        <w:bidi w:val="0"/>
        <w:spacing w:before="160" w:after="0"/>
        <w:jc w:val="left"/>
        <w:rPr>
          <w:rFonts w:ascii="arial" w:hAnsi="arial"/>
          <w:sz w:val="20"/>
        </w:rPr>
      </w:pPr>
      <w:r>
        <w:rPr>
          <w:rFonts w:ascii="arial" w:hAnsi="arial"/>
          <w:sz w:val="20"/>
        </w:rPr>
        <w:t xml:space="preserve">In April 2026, we entered into a confirmatory offer letter agreement with Justin McAnear in connection with his services as Chief Financial Officer, which became effective upon the pricing of this offering. The agreement provides for an annual base salary of $560,000 and an annual discretionary bonus at a target amount of 50% of his base salary. The agreement also provides that Mr. McAnear is eligible for severance benefits under the terms of our Severance Plan, the terms of which are described below. The confirmatory employment agreement supersedes all existing agreements and understandings Mr. McAnear may have concerning his employment relationship with us. </w:t>
      </w:r>
    </w:p>
    <w:p>
      <w:pPr>
        <w:pStyle w:val="TextBody"/>
        <w:bidi w:val="0"/>
        <w:spacing w:before="160" w:after="0"/>
        <w:jc w:val="left"/>
        <w:rPr>
          <w:rFonts w:ascii="arial" w:hAnsi="arial"/>
          <w:sz w:val="20"/>
        </w:rPr>
      </w:pPr>
      <w:r>
        <w:rPr>
          <w:rFonts w:ascii="arial" w:hAnsi="arial"/>
          <w:sz w:val="20"/>
        </w:rPr>
        <w:t xml:space="preserve">Mr. McAnear’s annual base salary as of December 31, 2025 was $475,000 and his target bonus was 25% of his base salary. Additionally, in connection with his appointment as Chief Financial Officer in October 2025, Mr. McAnear received a sign-on bonus of $100,000 pursuant to that certain employment agreement by and between Mr. McAnear and the Company, dated October 3, 2025 (the “McAnear Agreement”). If his employment is terminated for “cause” or he resigns without “good reason” (as such terms are defined in the McAnear Agreement) within 12 months of his start date, he is required to repay the sign-on bonus. </w:t>
      </w:r>
    </w:p>
    <w:p>
      <w:pPr>
        <w:pStyle w:val="TextBody"/>
        <w:bidi w:val="0"/>
        <w:spacing w:before="160" w:after="0"/>
        <w:jc w:val="left"/>
        <w:rPr>
          <w:rFonts w:ascii="arial" w:hAnsi="arial"/>
          <w:i/>
          <w:sz w:val="20"/>
        </w:rPr>
      </w:pPr>
      <w:r>
        <w:rPr>
          <w:rFonts w:ascii="arial" w:hAnsi="arial"/>
          <w:i/>
          <w:sz w:val="20"/>
        </w:rPr>
        <w:t xml:space="preserve">Shiping “Steve” Chen, Ph.D. </w:t>
      </w:r>
    </w:p>
    <w:p>
      <w:pPr>
        <w:pStyle w:val="TextBody"/>
        <w:bidi w:val="0"/>
        <w:spacing w:before="160" w:after="0"/>
        <w:jc w:val="left"/>
        <w:rPr>
          <w:rFonts w:ascii="arial" w:hAnsi="arial"/>
          <w:sz w:val="20"/>
        </w:rPr>
      </w:pPr>
      <w:r>
        <w:rPr>
          <w:rFonts w:ascii="arial" w:hAnsi="arial"/>
          <w:sz w:val="20"/>
        </w:rPr>
        <w:t xml:space="preserve">In April 2026, we entered into a confirmatory offer letter agreement with Shiping “Steve” Chen, Ph.D. in connection with his services as Chief Operating Officer, which became effective upon the pricing of this offering. The agreement provides for an annual base salary of $560,000 and an annual discretionary bonus at a target amount of 50% of his base salary. The agreement also provides that Dr. Chen is eligible for severance benefits under the terms of our Severance Plan, the terms of which are described below. The confirmatory employment agreement supersedes all existing agreements and understandings Dr. Chen may have concerning his employment relationship with us. </w:t>
      </w:r>
    </w:p>
    <w:p>
      <w:pPr>
        <w:pStyle w:val="TextBody"/>
        <w:bidi w:val="0"/>
        <w:spacing w:before="160" w:after="0"/>
        <w:jc w:val="left"/>
        <w:rPr>
          <w:rFonts w:ascii="arial" w:hAnsi="arial"/>
          <w:sz w:val="20"/>
        </w:rPr>
      </w:pPr>
      <w:r>
        <w:rPr>
          <w:rFonts w:ascii="arial" w:hAnsi="arial"/>
          <w:sz w:val="20"/>
        </w:rPr>
        <w:t xml:space="preserve">Dr. Chen’s annual base salary as of December 31, 2025 was $415,135 and his target bonus was 25% of his base salary. </w:t>
      </w:r>
    </w:p>
    <w:p>
      <w:pPr>
        <w:pStyle w:val="TextBody"/>
        <w:bidi w:val="0"/>
        <w:spacing w:before="320" w:after="0"/>
        <w:jc w:val="left"/>
        <w:rPr>
          <w:rFonts w:ascii="arial" w:hAnsi="arial"/>
          <w:b/>
          <w:sz w:val="24"/>
        </w:rPr>
      </w:pPr>
      <w:r>
        <w:rPr>
          <w:rFonts w:ascii="arial" w:hAnsi="arial"/>
          <w:b/>
          <w:sz w:val="24"/>
        </w:rPr>
        <w:t xml:space="preserve">Clawback policy </w:t>
      </w:r>
    </w:p>
    <w:p>
      <w:pPr>
        <w:pStyle w:val="TextBody"/>
        <w:bidi w:val="0"/>
        <w:spacing w:before="160" w:after="0"/>
        <w:jc w:val="left"/>
        <w:rPr>
          <w:rFonts w:ascii="arial" w:hAnsi="arial"/>
          <w:sz w:val="20"/>
        </w:rPr>
      </w:pPr>
      <w:r>
        <w:rPr>
          <w:rFonts w:ascii="arial" w:hAnsi="arial"/>
          <w:sz w:val="20"/>
        </w:rPr>
        <w:t xml:space="preserve">We will adopt, effective upon the completion of this offering, a Dodd-Frank Act-compliant compensation recoupment policy in accordance with SEC and listing exchange requirements. In the event we are required to prepare an accounting restatement, we will recover any compensation received after the effective date by any current or former executive officer that is based wholly or in part upon the attainment of a financial reporting measure. </w:t>
      </w:r>
    </w:p>
    <w:p>
      <w:pPr>
        <w:pStyle w:val="TextBody"/>
        <w:bidi w:val="0"/>
        <w:spacing w:before="320" w:after="0"/>
        <w:jc w:val="left"/>
        <w:rPr>
          <w:rFonts w:ascii="arial" w:hAnsi="arial"/>
          <w:b/>
          <w:sz w:val="24"/>
        </w:rPr>
      </w:pPr>
      <w:r>
        <w:rPr>
          <w:rFonts w:ascii="arial" w:hAnsi="arial"/>
          <w:b/>
          <w:sz w:val="24"/>
        </w:rPr>
        <w:t xml:space="preserve">Severance plan </w:t>
      </w:r>
    </w:p>
    <w:p>
      <w:pPr>
        <w:pStyle w:val="TextBody"/>
        <w:bidi w:val="0"/>
        <w:spacing w:before="160" w:after="0"/>
        <w:jc w:val="left"/>
        <w:rPr>
          <w:rFonts w:ascii="arial" w:hAnsi="arial"/>
          <w:sz w:val="20"/>
        </w:rPr>
      </w:pPr>
      <w:r>
        <w:rPr>
          <w:rFonts w:ascii="arial" w:hAnsi="arial"/>
          <w:sz w:val="20"/>
        </w:rPr>
        <w:t xml:space="preserve">Our board of directors has adopted the Alamar Biosciences, Inc. Severance Plan (the “Severance Plan”) to provide certain severance benefits to eligible employees whose employment is involuntarily terminated by us other than for “Cause” or who resign for “Good Reason,” in each case as defined in the Severance Plan. Eligibility is limited to employees designated by our board as Tier 1, Tier 2, or Tier 3 “Covered Employees” pursuant to a participation agreement. Dr. Luo is a Tier 1 Covered Employee under the Severance Plan, and Mr. McAnear and Dr. Chen are Tier 2 Covered Employees under the Severance Plan. </w:t>
      </w:r>
    </w:p>
    <w:p>
      <w:pPr>
        <w:pStyle w:val="TextBody"/>
        <w:bidi w:val="0"/>
        <w:spacing w:before="160" w:after="0"/>
        <w:jc w:val="left"/>
        <w:rPr>
          <w:rFonts w:ascii="arial" w:hAnsi="arial"/>
          <w:sz w:val="20"/>
        </w:rPr>
      </w:pPr>
      <w:r>
        <w:rPr>
          <w:rFonts w:ascii="arial" w:hAnsi="arial"/>
          <w:i/>
          <w:sz w:val="20"/>
        </w:rPr>
        <w:t>Non-change in control termination benefits</w:t>
      </w:r>
      <w:r>
        <w:rPr>
          <w:rFonts w:ascii="arial" w:hAnsi="arial"/>
          <w:sz w:val="20"/>
        </w:rPr>
        <w:t xml:space="preserve">. If, other than during the period beginning three months prior to and ending twelve months following a “Change in Control” as defined in the Severance Plan (such period, the “Change in Control Period”), we terminate a Covered Employee’s employment other than for Cause (and other than due to death or Disability, as defined in the Severance Plan), or the Covered Employee resigns for Good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Reason, then, subject to the conditions described below, the Covered Employee will receive salary continuation payments equal to 1.0x annual base salary for Tier 1 Covered Employees and 0.75x annual base salary for Tier 2 Covered Employees. If the Covered Employee timely elects COBRA continuation coverage, we will also pay COBRA premiums for continued group health coverage for the Covered Employee and the Covered Employee’s eligible dependents (or taxable payments in lieu thereof), for up to 12 months for Tier 1 Covered Employees and up to nine months for Tier 2 Covered Employees. </w:t>
      </w:r>
    </w:p>
    <w:p>
      <w:pPr>
        <w:pStyle w:val="TextBody"/>
        <w:bidi w:val="0"/>
        <w:spacing w:before="160" w:after="0"/>
        <w:jc w:val="left"/>
        <w:rPr>
          <w:rFonts w:ascii="arial" w:hAnsi="arial"/>
          <w:sz w:val="20"/>
        </w:rPr>
      </w:pPr>
      <w:r>
        <w:rPr>
          <w:rFonts w:ascii="arial" w:hAnsi="arial"/>
          <w:i/>
          <w:sz w:val="20"/>
        </w:rPr>
        <w:t>Change in control termination benefits</w:t>
      </w:r>
      <w:r>
        <w:rPr>
          <w:rFonts w:ascii="arial" w:hAnsi="arial"/>
          <w:sz w:val="20"/>
        </w:rPr>
        <w:t xml:space="preserve">. If, during the Change in Control Period, we terminate a Covered Employee’s employment other than for Cause (and other than due to death or Disability), or the Covered Employee resigns for Good Reason, then, subject to the conditions described below, the Covered Employee will receive (i) salary continuation payments equal to 1.5x, 1.0x, or 0.5x annual base salary for Tier 1, Tier 2, and Tier 3 Covered Employees, respectively, (ii) a lump-sum cash payment equal to 1.5x, 1.0x, or 1.0x of the Covered Employee’s target annual bonus for Tier 1, Tier 2, and Tier 3 Covered Employees, respectively, and (iii) Company-paid COBRA premiums for continued group health coverage for the Covered Employee and the Covered Employee’s eligible dependents (or taxable payment in lieu thereof), for up to 18 months, 12 months, or six months for Tier 1, Tier 2, and Tier 3 Covered Employees, respectively. In addition, all outstanding unvested time-based equity awards and any performance-based equity awards for which the applicable performance period has been completed (and performance has been measured and certified) will accelerate and vest in full, and any performance-based equity awards still subject to ongoing performance metrics will vest as provided in the applicable award agreement; provided, however, that if any such performance-based award does not specify the calculation of performance upon a Change in Control, performance will be deemed achieved at the target level. </w:t>
      </w:r>
    </w:p>
    <w:p>
      <w:pPr>
        <w:pStyle w:val="TextBody"/>
        <w:bidi w:val="0"/>
        <w:spacing w:before="160" w:after="0"/>
        <w:jc w:val="left"/>
        <w:rPr>
          <w:rFonts w:ascii="arial" w:hAnsi="arial"/>
          <w:sz w:val="20"/>
        </w:rPr>
      </w:pPr>
      <w:r>
        <w:rPr>
          <w:rFonts w:ascii="arial" w:hAnsi="arial"/>
          <w:i/>
          <w:sz w:val="20"/>
        </w:rPr>
        <w:t>Conditions.</w:t>
      </w:r>
      <w:r>
        <w:rPr>
          <w:rFonts w:ascii="arial" w:hAnsi="arial"/>
          <w:sz w:val="20"/>
        </w:rPr>
        <w:t xml:space="preserve"> Receipt of any severance benefits under the Severance Plan is conditioned upon the Covered Employee’s execution and non-revocation of a general release of claims in favor of the Company within 55 days following the date of termination, and on the Covered Employee’s continued compliance with any confidentiality, proprietary information, or similar agreements with the Company. </w:t>
      </w:r>
    </w:p>
    <w:p>
      <w:pPr>
        <w:pStyle w:val="TextBody"/>
        <w:bidi w:val="0"/>
        <w:spacing w:before="160" w:after="0"/>
        <w:jc w:val="left"/>
        <w:rPr>
          <w:rFonts w:ascii="arial" w:hAnsi="arial"/>
          <w:sz w:val="20"/>
        </w:rPr>
      </w:pPr>
      <w:r>
        <w:rPr>
          <w:rFonts w:ascii="arial" w:hAnsi="arial"/>
          <w:i/>
          <w:sz w:val="20"/>
        </w:rPr>
        <w:t>Section 280G.</w:t>
      </w:r>
      <w:r>
        <w:rPr>
          <w:rFonts w:ascii="arial" w:hAnsi="arial"/>
          <w:sz w:val="20"/>
        </w:rPr>
        <w:t xml:space="preserve"> If any payments or benefits provided under the Severance Plan or otherwise would constitute “parachute payments” within the meaning of Section 280G of the Code and would be subject to the excise tax imposed by Section 4999 of the Code, then the Covered Employee will receive the greater of (x) the largest portion of such payments that would not be subject to the excise tax, or (y) the full amount of such payments, in each case, whichever produces the greater after-tax benefit to the Covered Employee. The Severance Plan does not provide for any excise tax gross-up payments. </w:t>
      </w:r>
    </w:p>
    <w:p>
      <w:pPr>
        <w:pStyle w:val="TextBody"/>
        <w:bidi w:val="0"/>
        <w:spacing w:before="320" w:after="0"/>
        <w:jc w:val="left"/>
        <w:rPr>
          <w:rFonts w:ascii="arial" w:hAnsi="arial"/>
          <w:b/>
          <w:sz w:val="24"/>
        </w:rPr>
      </w:pPr>
      <w:r>
        <w:rPr>
          <w:rFonts w:ascii="arial" w:hAnsi="arial"/>
          <w:b/>
          <w:sz w:val="24"/>
        </w:rPr>
        <w:t xml:space="preserve">Other compensation and benefits </w:t>
      </w:r>
    </w:p>
    <w:p>
      <w:pPr>
        <w:pStyle w:val="TextBody"/>
        <w:bidi w:val="0"/>
        <w:spacing w:before="160" w:after="0"/>
        <w:jc w:val="left"/>
        <w:rPr>
          <w:rFonts w:ascii="arial" w:hAnsi="arial"/>
          <w:sz w:val="20"/>
        </w:rPr>
      </w:pPr>
      <w:r>
        <w:rPr>
          <w:rFonts w:ascii="arial" w:hAnsi="arial"/>
          <w:sz w:val="20"/>
        </w:rPr>
        <w:t xml:space="preserve">All of our current named executive officers are eligible to participate in our employee benefit plans, including medical, dental, vision, short- and long-term disability, health savings and flexible spending accounts, and life and accidental dismemberment insurance plans, in each case on the same basis as all of our other employees. We pay a portion of the premiums for the medical, dental and vision insurance, and the full premiums for life and accidental death and dismemberment insurance for all our employees, including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 </w:t>
      </w:r>
    </w:p>
    <w:p>
      <w:pPr>
        <w:pStyle w:val="TextBody"/>
        <w:bidi w:val="0"/>
        <w:spacing w:before="320" w:after="0"/>
        <w:jc w:val="left"/>
        <w:rPr>
          <w:rFonts w:ascii="arial" w:hAnsi="arial"/>
          <w:b/>
          <w:sz w:val="24"/>
        </w:rPr>
      </w:pPr>
      <w:r>
        <w:rPr>
          <w:rFonts w:ascii="arial" w:hAnsi="arial"/>
          <w:b/>
          <w:sz w:val="24"/>
        </w:rPr>
        <w:t xml:space="preserve">401(k) plan </w:t>
      </w:r>
    </w:p>
    <w:p>
      <w:pPr>
        <w:pStyle w:val="TextBody"/>
        <w:bidi w:val="0"/>
        <w:spacing w:before="160" w:after="0"/>
        <w:jc w:val="left"/>
        <w:rPr>
          <w:rFonts w:ascii="arial" w:hAnsi="arial"/>
          <w:sz w:val="20"/>
        </w:rPr>
      </w:pPr>
      <w:r>
        <w:rPr>
          <w:rFonts w:ascii="arial" w:hAnsi="arial"/>
          <w:sz w:val="20"/>
        </w:rPr>
        <w:t xml:space="preserve">Our named executive officers are eligible to participate in a defined contribution retirement plan that provides eligible employees with an opportunity to save for retirement on a tax advantaged basis. Eligible employees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may defer eligible compensation on a pre-tax or after-tax (“Roth”) basis, up to the statutorily prescribed annual limits on contributions under the Code, with an annual match of 25% of an employee’s contribution for up to 6% of such employee’s compensation.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Our board of directors may elect to adopt qualified or nonqualified benefit plans in the future, if it determines that doing so is in our best interests. </w:t>
      </w:r>
    </w:p>
    <w:p>
      <w:pPr>
        <w:pStyle w:val="TextBody"/>
        <w:bidi w:val="0"/>
        <w:spacing w:before="320" w:after="0"/>
        <w:jc w:val="left"/>
        <w:rPr>
          <w:rFonts w:ascii="arial" w:hAnsi="arial"/>
          <w:b/>
          <w:sz w:val="24"/>
        </w:rPr>
      </w:pPr>
      <w:r>
        <w:rPr>
          <w:rFonts w:ascii="arial" w:hAnsi="arial"/>
          <w:b/>
          <w:sz w:val="24"/>
        </w:rPr>
        <w:t xml:space="preserve">Equity plans </w:t>
      </w:r>
    </w:p>
    <w:p>
      <w:pPr>
        <w:pStyle w:val="TextBody"/>
        <w:bidi w:val="0"/>
        <w:spacing w:before="160" w:after="0"/>
        <w:jc w:val="left"/>
        <w:rPr>
          <w:rFonts w:ascii="arial" w:hAnsi="arial"/>
          <w:sz w:val="20"/>
        </w:rPr>
      </w:pPr>
      <w:r>
        <w:rPr>
          <w:rFonts w:ascii="arial" w:hAnsi="arial"/>
          <w:sz w:val="20"/>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before="160" w:after="0"/>
        <w:jc w:val="left"/>
        <w:rPr>
          <w:rFonts w:ascii="arial" w:hAnsi="arial"/>
          <w:b/>
          <w:i/>
          <w:sz w:val="24"/>
        </w:rPr>
      </w:pPr>
      <w:r>
        <w:rPr>
          <w:rFonts w:ascii="arial" w:hAnsi="arial"/>
          <w:b/>
          <w:i/>
          <w:sz w:val="24"/>
        </w:rPr>
        <w:t xml:space="preserve">2018 Plan </w:t>
      </w:r>
    </w:p>
    <w:p>
      <w:pPr>
        <w:pStyle w:val="TextBody"/>
        <w:bidi w:val="0"/>
        <w:spacing w:before="160" w:after="0"/>
        <w:jc w:val="left"/>
        <w:rPr>
          <w:rFonts w:ascii="arial" w:hAnsi="arial"/>
          <w:sz w:val="20"/>
        </w:rPr>
      </w:pPr>
      <w:r>
        <w:rPr>
          <w:rFonts w:ascii="arial" w:hAnsi="arial"/>
          <w:sz w:val="20"/>
        </w:rPr>
        <w:t xml:space="preserve">Our 2018 Plan was adopted by our board of directors on July 2, 2018 and approved by our stockholders on July 2, 2018. Our 2018 Plan was most recently amended in November 2025. Our 2018 Plan terminated on the date the 2026 Plan became effective, and hereafter no further awards will be granted under our 2018 Plan; however, awards outstanding under our 2018 Plan will continue to be governed by their existing terms. </w:t>
      </w:r>
    </w:p>
    <w:p>
      <w:pPr>
        <w:pStyle w:val="TextBody"/>
        <w:bidi w:val="0"/>
        <w:spacing w:before="160" w:after="0"/>
        <w:jc w:val="left"/>
        <w:rPr>
          <w:rFonts w:ascii="arial" w:hAnsi="arial"/>
          <w:sz w:val="20"/>
        </w:rPr>
      </w:pPr>
      <w:r>
        <w:rPr>
          <w:rFonts w:ascii="arial" w:hAnsi="arial"/>
          <w:i/>
          <w:sz w:val="20"/>
        </w:rPr>
        <w:t>Awards.</w:t>
      </w:r>
      <w:r>
        <w:rPr>
          <w:rFonts w:ascii="arial" w:hAnsi="arial"/>
          <w:sz w:val="20"/>
        </w:rPr>
        <w:t xml:space="preserve"> Our 2018 Plan provides for the direct award or sale of shares of our Class B common stock and for the grant of incentive stock options (ISOs) within the meaning of Section 422 of the Code, nonstatutory stock options, and restricted stock unit awards. ISOs may only be granted to our employees and those of our parent or subsidiary corporations. All other awards may be granted to our employees, non-employee members of our board of directors, and consultants and any of our parent and subsidiary corporations’ employees and consultants. Immediately prior to the closing of the offering, all shares of Class B common stock underlying outstanding options under our 2018 Plan will be redesignated as shares of common stock. </w:t>
      </w:r>
    </w:p>
    <w:p>
      <w:pPr>
        <w:pStyle w:val="TextBody"/>
        <w:bidi w:val="0"/>
        <w:spacing w:before="160" w:after="0"/>
        <w:jc w:val="left"/>
        <w:rPr>
          <w:rFonts w:ascii="arial" w:hAnsi="arial"/>
          <w:sz w:val="20"/>
        </w:rPr>
      </w:pPr>
      <w:r>
        <w:rPr>
          <w:rFonts w:ascii="arial" w:hAnsi="arial"/>
          <w:i/>
          <w:sz w:val="20"/>
        </w:rPr>
        <w:t>Authorized shares.</w:t>
      </w:r>
      <w:r>
        <w:rPr>
          <w:rFonts w:ascii="arial" w:hAnsi="arial"/>
          <w:sz w:val="20"/>
        </w:rPr>
        <w:t xml:space="preserve"> As of December 31, 2025, we had reserved 10,340,018 shares of our Class B common stock for issuance under our 2018 Plan, all of which could be issued on the exercise of ISOs. As of December 31, 2025, options to purchase 5,842,551 shares were outstanding under our 2018 Plan, shares issued through the direct award or sale of shares under our 2018 Plan remained outstanding and unvested, and 1,778,636 shares remained available for issuance under our 2018 Plan. Unissued shares underlying awards that expire or are canceled or shares otherwise issuable under our 2018 Plan that are withheld by us for payment of the purchase price, exercise price or withholding taxes in respect of an award will remain available for issuance under our 2018 Plan. Shares issued under our 2018 Plan that are forfeited to or repurchased by us due to failure to vest are currently added back to the shares available for issuance under our 2018 Plan. Shares issued under our 2018 Plan that are settled in cash rather than in shares will not reduce the number of shares remaining available for issuance under our 2018 Plan.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one or more committees of our board of directors may administer our 2018 Plan. We sometimes refer to our board of directors, or the applicable committee appointed by our board of directors, as the administrator. Subject to the terms of our 2018 Plan, the administrator has full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authority and discretion to take any actions it deems necessary or advisable for the administration of our 2018 Plan. With respect to the terms and conditions of awards granted to participants outside the United States, the administrator may vary from the provisions of our 2018 Plan that do not require stockholder approval to the extent it determines it necessary and appropriate to do so. All decisions, interpretations, and other actions of the administrator will be final and binding on all participants and persons deriving their rights from a participant. </w:t>
      </w:r>
    </w:p>
    <w:p>
      <w:pPr>
        <w:pStyle w:val="TextBody"/>
        <w:bidi w:val="0"/>
        <w:spacing w:before="160" w:after="0"/>
        <w:jc w:val="left"/>
        <w:rPr>
          <w:rFonts w:ascii="arial" w:hAnsi="arial"/>
          <w:sz w:val="20"/>
        </w:rPr>
      </w:pPr>
      <w:r>
        <w:rPr>
          <w:rFonts w:ascii="arial" w:hAnsi="arial"/>
          <w:sz w:val="20"/>
        </w:rPr>
        <w:t xml:space="preserve">Within the limitations of our 2018 Plan, the administrator also has the authority to modify, reprice, extend or assume outstanding options or to accept the cancellation of outstanding options (whether granted by us or another issuer) in return for the grant of new options or a different type of award for the same or a different number of shares of our Class B common stock and at the same or a different exercise price. However, no modification of an option may impair the participant’s rights or increase the participant’s obligations under the option without the consent of the participant (except as otherwise permitted by the 2018 Plan). </w:t>
      </w:r>
    </w:p>
    <w:p>
      <w:pPr>
        <w:pStyle w:val="TextBody"/>
        <w:bidi w:val="0"/>
        <w:spacing w:before="160" w:after="0"/>
        <w:jc w:val="left"/>
        <w:rPr>
          <w:rFonts w:ascii="arial" w:hAnsi="arial"/>
          <w:sz w:val="20"/>
        </w:rPr>
      </w:pPr>
      <w:r>
        <w:rPr>
          <w:rFonts w:ascii="arial" w:hAnsi="arial"/>
          <w:i/>
          <w:sz w:val="20"/>
        </w:rPr>
        <w:t>Options.</w:t>
      </w:r>
      <w:r>
        <w:rPr>
          <w:rFonts w:ascii="arial" w:hAnsi="arial"/>
          <w:sz w:val="20"/>
        </w:rPr>
        <w:t xml:space="preserve"> Subject to the terms and conditions of our 2018 Plan, the administrator determines the terms and conditions of options, such as the number of shares subject to the option, the exercise price of the option, the term of the option and the time(s) at which the option may become exercisable. The exercise price of options granted under our 2018 Plan generally cannot be less than 100% of the fair market value of a share of our Class B common stock on the grant date, except that such limitation will not apply to a nonstatutory stock option granted to a person who is not a U.S. taxpayer on the date of grant, a nonstatutory stock option that is intended to either be exempt from Section 409A of the Code as a short-term deferral or to comply with the requirements of Section 409A of the Code, or an option granted pursuant to an assumption of or substitution for another option in a manner that complies with Sections 409A or 424(a) of the Code, as applicable. The term of an option may not exceed ten years from the grant date. With respect to any participant who owns more than 10% of the total combined voting power of all classes of our (or any of our parent’s or subsidiary’s) outstanding stock, the term of an ISO granted to such participant must not exceed five years from the grant date and the per share exercise price cannot be less than 110% of the fair market value of a share of our Class B common stock on the grant date. Unless otherwise provided in a participant’s option agreement, if a participant’s service terminates, the participant’s then-vested stock options granted under our 2018 Plan will remain exercisable following termination for a period of three months if the termination is for any reason other than death or disability (as defined in our 2018 Plan), for a period of six months if the termination is due to disability, for a period of 12 months if the termination is due to death. In no event may a stock option be exercised later than the expiration of its term. </w:t>
      </w:r>
    </w:p>
    <w:p>
      <w:pPr>
        <w:pStyle w:val="TextBody"/>
        <w:bidi w:val="0"/>
        <w:spacing w:before="160" w:after="0"/>
        <w:jc w:val="left"/>
        <w:rPr>
          <w:rFonts w:ascii="arial" w:hAnsi="arial"/>
          <w:sz w:val="20"/>
        </w:rPr>
      </w:pPr>
      <w:r>
        <w:rPr>
          <w:rFonts w:ascii="arial" w:hAnsi="arial"/>
          <w:i/>
          <w:sz w:val="20"/>
        </w:rPr>
        <w:t>Restricted stock unit awards.</w:t>
      </w:r>
      <w:r>
        <w:rPr>
          <w:rFonts w:ascii="arial" w:hAnsi="arial"/>
          <w:sz w:val="20"/>
        </w:rPr>
        <w:t xml:space="preserve"> Subject to the terms and conditions of our 2018 Plan, the administrator determines the terms and conditions of restricted stock unit awards. Restricted stock unit awards may be granted in consideration for any form of legal consideration that may be acceptable to our board of directors and permissible under applicable law. A vested restricted stock unit award may be settled by cash, delivery of shares of our Class B common stock, or any combination of both, as determined by the administrator and set forth in the restricted stock unit agreement. Additionally, dividend equivalents may be converted into additional restricted stock units. Except as otherwise provided in the applicable restricted stock unit agreement, restricted stock unit awards that have not vested will be forfeited upon the participant’s termination of service. </w:t>
      </w:r>
    </w:p>
    <w:p>
      <w:pPr>
        <w:pStyle w:val="TextBody"/>
        <w:bidi w:val="0"/>
        <w:spacing w:before="160" w:after="0"/>
        <w:jc w:val="left"/>
        <w:rPr>
          <w:rFonts w:ascii="arial" w:hAnsi="arial"/>
          <w:sz w:val="20"/>
        </w:rPr>
      </w:pPr>
      <w:r>
        <w:rPr>
          <w:rFonts w:ascii="arial" w:hAnsi="arial"/>
          <w:i/>
          <w:sz w:val="20"/>
        </w:rPr>
        <w:t>Stock grants and sale of shares.</w:t>
      </w:r>
      <w:r>
        <w:rPr>
          <w:rFonts w:ascii="arial" w:hAnsi="arial"/>
          <w:sz w:val="20"/>
        </w:rPr>
        <w:t xml:space="preserve"> Subject to the terms and conditions of our 2018 Plan, the administrator determines the terms and conditions of the award or sale of our Class B common stock under our 2018 Plan. Any right to purchase shares of our Class B common stock under our 2018 Plan will automatically expire if not exercised by the participant within 30 days (or such other period as determined by the administrator) after the grant of such right was communicated to the participant.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Transferability of awards</w:t>
      </w:r>
      <w:r>
        <w:rPr>
          <w:rFonts w:ascii="arial" w:hAnsi="arial"/>
          <w:sz w:val="20"/>
        </w:rPr>
        <w:t xml:space="preserve">. Our 2018 Plan generally does not allow for the transfer of awards except by a beneficiary designation, a will or the laws of descent and distribution, and an ISO may be exercised during the lifetime of the participant only by the participant or the participant’s guardian or legal representative. </w:t>
      </w:r>
    </w:p>
    <w:p>
      <w:pPr>
        <w:pStyle w:val="TextBody"/>
        <w:bidi w:val="0"/>
        <w:spacing w:before="160" w:after="0"/>
        <w:jc w:val="left"/>
        <w:rPr>
          <w:rFonts w:ascii="arial" w:hAnsi="arial"/>
          <w:sz w:val="20"/>
        </w:rPr>
      </w:pPr>
      <w:r>
        <w:rPr>
          <w:rFonts w:ascii="arial" w:hAnsi="arial"/>
          <w:i/>
          <w:sz w:val="20"/>
        </w:rPr>
        <w:t>Changes in capitalization.</w:t>
      </w:r>
      <w:r>
        <w:rPr>
          <w:rFonts w:ascii="arial" w:hAnsi="arial"/>
          <w:sz w:val="20"/>
        </w:rPr>
        <w:t xml:space="preserve"> In the event of a subdivision of our outstanding Class B common stock, a stock dividend, a combination or consolidation of our outstanding Class B common stock into a lesser number of shares, a reclassification or any other increase or decrease in the number of issued shares of our Class B common stock effected without receipt of consideration by us, proportionate adjustments will automatically be made in each of (i) the number and kind of shares available for issuance under our 2018 Plan, (ii) the number and kind of shares covered by each outstanding award and any outstanding and unexercised right to purchase shares that has not yet expired, (iii) the exercise price or purchase price, if any, applicable to each outstanding award, and (iv) any repurchase price applicable to shares granted under our 2018 Plan. In the event of an extraordinary dividend payable in a form other than shares of our Class B common stock in an amount that has a material effect on the fair market value of our Class B common stock, a recapitalization, spin-off, or other similar occurrence, the administrator at its sole discretion may make appropriate adjustments to one or more of the items described above. </w:t>
      </w:r>
    </w:p>
    <w:p>
      <w:pPr>
        <w:pStyle w:val="TextBody"/>
        <w:bidi w:val="0"/>
        <w:spacing w:before="160" w:after="0"/>
        <w:jc w:val="left"/>
        <w:rPr>
          <w:rFonts w:ascii="arial" w:hAnsi="arial"/>
          <w:sz w:val="20"/>
        </w:rPr>
      </w:pPr>
      <w:r>
        <w:rPr>
          <w:rFonts w:ascii="arial" w:hAnsi="arial"/>
          <w:i/>
          <w:sz w:val="20"/>
        </w:rPr>
        <w:t>Corporate transactions.</w:t>
      </w:r>
      <w:r>
        <w:rPr>
          <w:rFonts w:ascii="arial" w:hAnsi="arial"/>
          <w:sz w:val="20"/>
        </w:rPr>
        <w:t xml:space="preserve"> If we are a party to a merger or consolidation, or in the event of a sale of all or substantially all of our stock or assets, all shares acquired under our 2018 Plan and all outstanding awards under our 2018 Plan will be treated in the manner set forth in the definitive transaction agreement (or, if the transaction does not involve such an agreement, in the manner determined by the administrator), which agreement or determination need not treat all outstanding awards in an identical manner, and may include one or more of the following treatments with respect to each outstanding award: (i) continuation, assumption or substitution of the award by us or the surviving corporation (or its parent); (ii) cancellation of the award in exchange for a payment with respect to each share subject to the portion of the award that is vested as of the transaction date equal to the excess of (a) the value of the property (including cash) received by the holder of a share of our Class B common stock as a result of the transaction over (b) the per share exercise price (if any) of the award; (iii) cancellation of an option for no consideration, provided that the participant will be notified of such treatment and given an opportunity to exercise the option (to the extent it is vested or it becomes vested as of the effective date of the transaction) during a period that will generally be not less than five business days preceding the effective date of the transaction; (iv) suspension of the right to exercise the option during a limited period preceding the closing of the transaction if administratively necessary to facilitate the closing of the transaction; or (v) termination of any right to exercise shares subject to the option prior to vesting so that the option may only be exercised for vested shares after the closing of the transaction. The administrator has discretion to accelerate, in whole or part, the vesting and exercisability of an award in connection with a corporate transaction described above. </w:t>
      </w:r>
    </w:p>
    <w:p>
      <w:pPr>
        <w:pStyle w:val="TextBody"/>
        <w:bidi w:val="0"/>
        <w:spacing w:before="160" w:after="0"/>
        <w:jc w:val="left"/>
        <w:rPr>
          <w:rFonts w:ascii="arial" w:hAnsi="arial"/>
          <w:sz w:val="20"/>
        </w:rPr>
      </w:pPr>
      <w:r>
        <w:rPr>
          <w:rFonts w:ascii="arial" w:hAnsi="arial"/>
          <w:i/>
          <w:sz w:val="20"/>
        </w:rPr>
        <w:t>Amendment and termination.</w:t>
      </w:r>
      <w:r>
        <w:rPr>
          <w:rFonts w:ascii="arial" w:hAnsi="arial"/>
          <w:sz w:val="20"/>
        </w:rPr>
        <w:t xml:space="preserve"> The administrator may amend, suspend or terminate our 2018 Plan at any time and for any reason, subject to stockholder approval where such approval is required by applicable laws, regulations, or rules. No termination or amendment of our 2018 Plan may affect any then-outstanding award (except as otherwise provided in the 2018 Plan). As noted above, no further awards will be granted under our 2018 Plan on or after the effectiveness of our 2026 Plan; however, awards outstanding under our 2018 Plan will continue to be governed by their existing terms. </w:t>
      </w:r>
    </w:p>
    <w:p>
      <w:pPr>
        <w:pStyle w:val="TextBody"/>
        <w:bidi w:val="0"/>
        <w:spacing w:before="0" w:after="0"/>
        <w:jc w:val="left"/>
        <w:rPr/>
      </w:pPr>
      <w:r>
        <w:rPr/>
        <w:t> </w:t>
      </w:r>
    </w:p>
    <w:p>
      <w:pPr>
        <w:pStyle w:val="TextBody"/>
        <w:bidi w:val="0"/>
        <w:spacing w:before="160" w:after="0"/>
        <w:jc w:val="left"/>
        <w:rPr>
          <w:rFonts w:ascii="arial" w:hAnsi="arial"/>
          <w:b/>
          <w:i/>
          <w:sz w:val="24"/>
        </w:rPr>
      </w:pPr>
      <w:r>
        <w:rPr>
          <w:rFonts w:ascii="arial" w:hAnsi="arial"/>
          <w:b/>
          <w:i/>
          <w:sz w:val="24"/>
        </w:rPr>
        <w:t xml:space="preserve">2026 Plan </w:t>
      </w:r>
    </w:p>
    <w:p>
      <w:pPr>
        <w:pStyle w:val="TextBody"/>
        <w:bidi w:val="0"/>
        <w:spacing w:before="160" w:after="0"/>
        <w:jc w:val="left"/>
        <w:rPr>
          <w:rFonts w:ascii="arial" w:hAnsi="arial"/>
          <w:sz w:val="20"/>
        </w:rPr>
      </w:pPr>
      <w:r>
        <w:rPr>
          <w:rFonts w:ascii="arial" w:hAnsi="arial"/>
          <w:sz w:val="20"/>
        </w:rPr>
        <w:t xml:space="preserve">Our board of directors has adopted, and our stockholders have approved the 2026 Plan. The 2026 Plan became effective upon the effective date of the registration statement of which this prospectus forms a part but is not expected to be utilized until after the completion of this offering. Once the 2026 Plan became effective, no further grants will be made under the 2018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Type of awards</w:t>
      </w:r>
      <w:r>
        <w:rPr>
          <w:rFonts w:ascii="arial" w:hAnsi="arial"/>
          <w:sz w:val="20"/>
        </w:rPr>
        <w:t xml:space="preserve">. The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awards to employees, directors, and consultants, including employees and consultants of our affiliates. </w:t>
      </w:r>
    </w:p>
    <w:p>
      <w:pPr>
        <w:pStyle w:val="TextBody"/>
        <w:bidi w:val="0"/>
        <w:spacing w:before="160" w:after="0"/>
        <w:jc w:val="left"/>
        <w:rPr>
          <w:rFonts w:ascii="arial" w:hAnsi="arial"/>
          <w:sz w:val="20"/>
        </w:rPr>
      </w:pPr>
      <w:r>
        <w:rPr>
          <w:rFonts w:ascii="arial" w:hAnsi="arial"/>
          <w:i/>
          <w:sz w:val="20"/>
        </w:rPr>
        <w:t>Authorized shares</w:t>
      </w:r>
      <w:r>
        <w:rPr>
          <w:rFonts w:ascii="arial" w:hAnsi="arial"/>
          <w:sz w:val="20"/>
        </w:rPr>
        <w:t xml:space="preserve">. Initially, the maximum number of shares of our common stock that may be issued under the 2026 Plan after it becomes effective will not exceed 14,079,974 shares, which is the sum of (i) 7,220,000 shares, plus (ii) up to 6,859,974 returning shares (as defined in the 2026 Plan) as such shares become available from time to time. In addition, the number of shares of our common stock reserved for issuance under the 2026 Plan will automatically increase on January 1 of each calendar year, from January 1, 2027 through January 1, 2036, by 5% of the total number of shares of each and every class of our common stock outstanding on December 31 of the preceding year; provided that before the date of any such increase, the 2026 Plan’s administrator may determine that such increase will be less than such amount. The maximum number of shares of our common stock that may be issued on the exercise of ISOs under the 2026 Plan is 21,660,000. </w:t>
      </w:r>
    </w:p>
    <w:p>
      <w:pPr>
        <w:pStyle w:val="TextBody"/>
        <w:bidi w:val="0"/>
        <w:spacing w:before="160" w:after="0"/>
        <w:jc w:val="left"/>
        <w:rPr>
          <w:rFonts w:ascii="arial" w:hAnsi="arial"/>
          <w:sz w:val="20"/>
        </w:rPr>
      </w:pPr>
      <w:r>
        <w:rPr>
          <w:rFonts w:ascii="arial" w:hAnsi="arial"/>
          <w:sz w:val="20"/>
        </w:rPr>
        <w:t xml:space="preserve">Shares subject to awards granted under the 2026 Plan do not reduce the number of shares available for issuance under the 2026 Plan to the extent the awards expire or terminate without the issuance of shares, the awards are paid out in cash rather than in shares, or the shares are withheld to satisfy the exercise, strike, or purchase price of an award or the tax withholding obligations related to an award. Additionally, shares issued through awards granted under the 2026 Plan will become available for future grant under the 2026 Plan if they are (i) forfeited back to or repurchased by us because of a failure to meet a contingency or condition required for the vesting of such shares or (ii) reacquired by us to satisfy the exercise, strike or purchase price of an award or the tax withholding obligations related to an award. </w:t>
      </w:r>
    </w:p>
    <w:p>
      <w:pPr>
        <w:pStyle w:val="TextBody"/>
        <w:bidi w:val="0"/>
        <w:spacing w:before="160" w:after="0"/>
        <w:jc w:val="left"/>
        <w:rPr>
          <w:rFonts w:ascii="arial" w:hAnsi="arial"/>
          <w:sz w:val="20"/>
        </w:rPr>
      </w:pPr>
      <w:r>
        <w:rPr>
          <w:rFonts w:ascii="arial" w:hAnsi="arial"/>
          <w:sz w:val="20"/>
        </w:rPr>
        <w:t xml:space="preserve">We granted options to purchase 1,396,974 shares of common stock to certain of our directors and officers upon the effectiveness of the registration statement of which this prospectus forms a part under the 2026 Plan at an exercise price equal to the initial public offering price per share. We also plan to grant 314,611 RSUs to certain of our directors and officers following the closing of this offering upon our filing of a registration statement on Form S-8.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a duly authorized committee of our board of directors, will administer the 2026 Plan. In this summary of the 2026 Plan, we sometimes refer to our board of directors, or the applicable committee with the power to administer the 2026 Plan, as the administrator. </w:t>
      </w:r>
    </w:p>
    <w:p>
      <w:pPr>
        <w:pStyle w:val="TextBody"/>
        <w:bidi w:val="0"/>
        <w:spacing w:before="160" w:after="0"/>
        <w:jc w:val="left"/>
        <w:rPr>
          <w:rFonts w:ascii="arial" w:hAnsi="arial"/>
          <w:sz w:val="20"/>
        </w:rPr>
      </w:pPr>
      <w:r>
        <w:rPr>
          <w:rFonts w:ascii="arial" w:hAnsi="arial"/>
          <w:sz w:val="20"/>
        </w:rPr>
        <w:t xml:space="preserve">Subject to the limitations of the 2026 Plan, the administrator’s powers include the authority to (i) determine the eligible persons who will be granted awards and the terms and conditions of such awards, (ii) construe and interpret the 2026 Plan and awards granted under it and settle related controversies, (iii) accelerate the exercisability or vesting of any award, (iv) prohibit the exercise of any award for up to 30 days prior to certain transactions, (v) suspend or terminate the 2026 Plan, (vi) amend the 2026 Plan, subject to the limitations of the 2026 Plan and applicable law, (vii) approve forms of award agreement and amend the terms of any award (provided that such amendment does not materially impair the existing rights of the participant holding such award without such participant’s written consent), (viii) adopt such procedures and sub-plans as are necessary or appropriate to permit and facilitate participation in the 2026 Plan by, or take advantage of specific tax treatment for awards granted to, persons who are non-U.S. nationals or employed outside the U.S., and (ix) exercise such powers and perform such acts as the administrator deems necessary or expedient to promote our best interests and that are not in conflict with the provisions of the 2026 Plan or the awards granted under it. </w:t>
      </w:r>
    </w:p>
    <w:p>
      <w:pPr>
        <w:pStyle w:val="TextBody"/>
        <w:bidi w:val="0"/>
        <w:spacing w:before="160" w:after="0"/>
        <w:jc w:val="left"/>
        <w:rPr>
          <w:rFonts w:ascii="arial" w:hAnsi="arial"/>
          <w:sz w:val="20"/>
        </w:rPr>
      </w:pPr>
      <w:r>
        <w:rPr>
          <w:rFonts w:ascii="arial" w:hAnsi="arial"/>
          <w:sz w:val="20"/>
        </w:rPr>
        <w:t xml:space="preserve">In addition, subject to the terms of the 2026 Plan, the administrator also has the authority to reprice any outstanding option or stock appreciation right, cancel and re-grant any outstanding option or stock appreciation right in exchange for new awards, cash or other consideration, or take any other action that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treated as a repricing under generally accepted accounting principles, with the consent of any materially adversely affected participant. </w:t>
      </w:r>
    </w:p>
    <w:p>
      <w:pPr>
        <w:pStyle w:val="TextBody"/>
        <w:bidi w:val="0"/>
        <w:spacing w:before="160" w:after="0"/>
        <w:jc w:val="left"/>
        <w:rPr>
          <w:rFonts w:ascii="arial" w:hAnsi="arial"/>
          <w:sz w:val="20"/>
        </w:rPr>
      </w:pPr>
      <w:r>
        <w:rPr>
          <w:rFonts w:ascii="arial" w:hAnsi="arial"/>
          <w:sz w:val="20"/>
        </w:rPr>
        <w:t xml:space="preserve">The administrator may also delegate to one or more persons or bodies the authority to administer the plan to the extent permitted by applicable laws. </w:t>
      </w:r>
    </w:p>
    <w:p>
      <w:pPr>
        <w:pStyle w:val="TextBody"/>
        <w:bidi w:val="0"/>
        <w:spacing w:before="160" w:after="0"/>
        <w:jc w:val="left"/>
        <w:rPr>
          <w:rFonts w:ascii="arial" w:hAnsi="arial"/>
          <w:sz w:val="20"/>
        </w:rPr>
      </w:pPr>
      <w:r>
        <w:rPr>
          <w:rFonts w:ascii="arial" w:hAnsi="arial"/>
          <w:i/>
          <w:sz w:val="20"/>
        </w:rPr>
        <w:t>Stock options</w:t>
      </w:r>
      <w:r>
        <w:rPr>
          <w:rFonts w:ascii="arial" w:hAnsi="arial"/>
          <w:sz w:val="20"/>
        </w:rPr>
        <w:t xml:space="preserve">. The 2026 Plan allows for the grant of options, with terms as generally determined by the administrator (in accordance with the 2026 Plan) and set forth in an award agreement. However, the per share exercise price of a stock option granted to a participant who is either a U.S. resident or a U.S. taxpayer generally cannot be less than 100% of the fair market value of a share of our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the shares of our common stock subject to ISOs that are exercisable for the first time by a participant during any calendar year under all stock plans of ours or any parent or subsidiary of ours may not exceed $100,000. Options or portions thereof that exceed such limit will generally be treated as NSOs. An option vests based on the satisfaction of the vesting conditions specified in the award agreement. </w:t>
      </w:r>
    </w:p>
    <w:p>
      <w:pPr>
        <w:pStyle w:val="TextBody"/>
        <w:bidi w:val="0"/>
        <w:spacing w:before="160" w:after="0"/>
        <w:jc w:val="left"/>
        <w:rPr>
          <w:rFonts w:ascii="arial" w:hAnsi="arial"/>
          <w:sz w:val="20"/>
        </w:rPr>
      </w:pPr>
      <w:r>
        <w:rPr>
          <w:rFonts w:ascii="arial" w:hAnsi="arial"/>
          <w:sz w:val="20"/>
        </w:rPr>
        <w:t xml:space="preserve">After a participant’s service relationship with us terminates, the participant will be able to exercise the vested portion of the participant’s option for the period of time stated in the participant’s award agreement. In the absence of a specified time in the award agreement, the option will be immediately forfeited upon a termination for cause, and the vested portion of the option will remain exercisable (i) if such termination is for any reason other than for cause, due to the participant’s disability, or due to the participant’s death, for three months following the date of such termination, (ii) if such termination is due to the participant’s disability, for 12 months following the date of such termination, (iii) if such termination is due to the participant’s death, for 18 months following the date of such termination, or (iv) if such death occurs following the date of such termination but during the period such award is otherwise exercisable, for 18 months following the date of the participant’s death. However, an option may not be exercised later than the expiration of its term. </w:t>
      </w:r>
    </w:p>
    <w:p>
      <w:pPr>
        <w:pStyle w:val="TextBody"/>
        <w:bidi w:val="0"/>
        <w:spacing w:before="160" w:after="0"/>
        <w:jc w:val="left"/>
        <w:rPr>
          <w:rFonts w:ascii="arial" w:hAnsi="arial"/>
          <w:sz w:val="20"/>
        </w:rPr>
      </w:pPr>
      <w:r>
        <w:rPr>
          <w:rFonts w:ascii="arial" w:hAnsi="arial"/>
          <w:i/>
          <w:sz w:val="20"/>
        </w:rPr>
        <w:t>Stock appreciation rights</w:t>
      </w:r>
      <w:r>
        <w:rPr>
          <w:rFonts w:ascii="arial" w:hAnsi="arial"/>
          <w:sz w:val="20"/>
        </w:rPr>
        <w:t xml:space="preserve">. The 2026 Plan allows for the grant of stock appreciation rights, with terms as generally determined by the administrator (in accordance with the 2026 Plan) and set forth in an award agreement. However, the per share strike price for a stock appreciation right granted to a participant who is either a U.S. resident or a U.S. taxpayer generally cannot be less than 100% of the fair market value of a share of our common stock on the date of grant, and a stock appreciation right may not have a term exceeding ten years. A stock appreciation right vests based on the satisfaction of the vesting conditions specified in the award agreement. When a participant’s service relationship with us ends, the same rules relating to the exercise of options will apply to the participant’s stock appreciation rights. </w:t>
      </w:r>
    </w:p>
    <w:p>
      <w:pPr>
        <w:pStyle w:val="TextBody"/>
        <w:bidi w:val="0"/>
        <w:spacing w:before="160" w:after="0"/>
        <w:jc w:val="left"/>
        <w:rPr>
          <w:rFonts w:ascii="arial" w:hAnsi="arial"/>
          <w:sz w:val="20"/>
        </w:rPr>
      </w:pPr>
      <w:r>
        <w:rPr>
          <w:rFonts w:ascii="arial" w:hAnsi="arial"/>
          <w:i/>
          <w:sz w:val="20"/>
        </w:rPr>
        <w:t>Restricted stock awards</w:t>
      </w:r>
      <w:r>
        <w:rPr>
          <w:rFonts w:ascii="arial" w:hAnsi="arial"/>
          <w:sz w:val="20"/>
        </w:rPr>
        <w:t xml:space="preserve">. The 2026 Plan allows for the grant of restricted stock awards. Restricted stock awards are granted under restricted stock award agreements adopted by the 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60" w:after="0"/>
        <w:jc w:val="left"/>
        <w:rPr>
          <w:rFonts w:ascii="arial" w:hAnsi="arial"/>
          <w:sz w:val="20"/>
        </w:rPr>
      </w:pPr>
      <w:r>
        <w:rPr>
          <w:rFonts w:ascii="arial" w:hAnsi="arial"/>
          <w:i/>
          <w:sz w:val="20"/>
        </w:rPr>
        <w:t>Restricted stock units</w:t>
      </w:r>
      <w:r>
        <w:rPr>
          <w:rFonts w:ascii="arial" w:hAnsi="arial"/>
          <w:sz w:val="20"/>
        </w:rPr>
        <w:t xml:space="preserve">. The 2026 Plan allows for the grant of RSUs, with terms as generally determined by the administrator (in accordance with the 2026 Plan) and set forth in an award agreement. Unless otherwise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determined by the administrator at the time of grant, an award of restricted stock units will be granted in consideration for a participant’s services to us or an affiliate of ours, such that the participant will not be required to make any payment to us (other than such services) with respect to the grant or vesting of the award, or the issuance of any shares through the award. If, at the time of grant, the administrator determines that any consideration must be paid by the participant upon the issuance of any shares in settlement of the award, such consideration may be paid in any form of consideration that is acceptable to the administrator and permissible under applicable law. </w:t>
      </w:r>
    </w:p>
    <w:p>
      <w:pPr>
        <w:pStyle w:val="TextBody"/>
        <w:bidi w:val="0"/>
        <w:spacing w:before="160" w:after="0"/>
        <w:jc w:val="left"/>
        <w:rPr>
          <w:rFonts w:ascii="arial" w:hAnsi="arial"/>
          <w:sz w:val="20"/>
        </w:rPr>
      </w:pPr>
      <w:r>
        <w:rPr>
          <w:rFonts w:ascii="arial" w:hAnsi="arial"/>
          <w:sz w:val="20"/>
        </w:rPr>
        <w:t xml:space="preserve">A restricted stock unit may be settled by the issuance of cash, shares of our common stock, or a combination of cash and such shares. Additionally, dividend equivalents may be paid or credited with respect to any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160" w:after="0"/>
        <w:jc w:val="left"/>
        <w:rPr>
          <w:rFonts w:ascii="arial" w:hAnsi="arial"/>
          <w:sz w:val="20"/>
        </w:rPr>
      </w:pPr>
      <w:r>
        <w:rPr>
          <w:rFonts w:ascii="arial" w:hAnsi="arial"/>
          <w:i/>
          <w:sz w:val="20"/>
        </w:rPr>
        <w:t>Performance units and performance shares</w:t>
      </w:r>
      <w:r>
        <w:rPr>
          <w:rFonts w:ascii="arial" w:hAnsi="arial"/>
          <w:sz w:val="20"/>
        </w:rPr>
        <w:t xml:space="preserve">. The 2026 Plan allows for the grant of performance-based stock and cash awards, with terms as generally determined by the administrator (in accordance with the 2026 Plan) and set forth in an award agreement. The administrator may structure awards so that the shares of our common stock or cash will be issued or paid only following the achievement of certain pre-established performance goals during a designated performance period. </w:t>
      </w:r>
    </w:p>
    <w:p>
      <w:pPr>
        <w:pStyle w:val="TextBody"/>
        <w:bidi w:val="0"/>
        <w:spacing w:before="160" w:after="0"/>
        <w:jc w:val="left"/>
        <w:rPr>
          <w:rFonts w:ascii="arial" w:hAnsi="arial"/>
          <w:sz w:val="20"/>
        </w:rPr>
      </w:pPr>
      <w:r>
        <w:rPr>
          <w:rFonts w:ascii="arial" w:hAnsi="arial"/>
          <w:sz w:val="20"/>
        </w:rPr>
        <w:t xml:space="preserve">The performance criteria that will be used to establish such performance goals may be based on any measure of performance selected by the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In addition, the administrator has the discretion to reduce or eliminate the compensation or economic benefit due upon attainment of the goals. The performance goals may differ from participant to participant and from award to award. </w:t>
      </w:r>
    </w:p>
    <w:p>
      <w:pPr>
        <w:pStyle w:val="TextBody"/>
        <w:bidi w:val="0"/>
        <w:spacing w:before="160" w:after="0"/>
        <w:jc w:val="left"/>
        <w:rPr>
          <w:rFonts w:ascii="arial" w:hAnsi="arial"/>
          <w:sz w:val="20"/>
        </w:rPr>
      </w:pPr>
      <w:r>
        <w:rPr>
          <w:rFonts w:ascii="arial" w:hAnsi="arial"/>
          <w:i/>
          <w:sz w:val="20"/>
        </w:rPr>
        <w:t>Other awards</w:t>
      </w:r>
      <w:r>
        <w:rPr>
          <w:rFonts w:ascii="arial" w:hAnsi="arial"/>
          <w:sz w:val="20"/>
        </w:rPr>
        <w:t xml:space="preserve">. The administrator may grant other awards based in whole or in part by reference to our common stock. The administrator will set the number of shares under the award (or the cash equivalent) and all other terms and conditions of such awards. </w:t>
      </w:r>
    </w:p>
    <w:p>
      <w:pPr>
        <w:pStyle w:val="TextBody"/>
        <w:bidi w:val="0"/>
        <w:spacing w:before="160" w:after="0"/>
        <w:jc w:val="left"/>
        <w:rPr>
          <w:rFonts w:ascii="arial" w:hAnsi="arial"/>
          <w:sz w:val="20"/>
        </w:rPr>
      </w:pPr>
      <w:r>
        <w:rPr>
          <w:rFonts w:ascii="arial" w:hAnsi="arial"/>
          <w:i/>
          <w:sz w:val="20"/>
        </w:rPr>
        <w:t>Non-employee director compensation limit</w:t>
      </w:r>
      <w:r>
        <w:rPr>
          <w:rFonts w:ascii="arial" w:hAnsi="arial"/>
          <w:sz w:val="20"/>
        </w:rPr>
        <w:t xml:space="preserve">. The aggregate value of all compensation granted or paid to any individual for service as a non-employee director with respect to any fiscal year (including awards granted and cash fees paid by us) will not exceed $750,000 in total value, or in the event such non-employee director is first appointed or elected to our board of directors during such fiscal year, $1,000,000 in total value (in each case, calculating the value of any such awards based on the grant date fair value of such awards for financial reporting purposes). This limitation will apply beginning with the first fiscal year that begins after the date the 2026 Plan became effective. </w:t>
      </w:r>
    </w:p>
    <w:p>
      <w:pPr>
        <w:pStyle w:val="TextBody"/>
        <w:bidi w:val="0"/>
        <w:spacing w:before="160" w:after="0"/>
        <w:jc w:val="left"/>
        <w:rPr>
          <w:rFonts w:ascii="arial" w:hAnsi="arial"/>
          <w:sz w:val="20"/>
        </w:rPr>
      </w:pPr>
      <w:r>
        <w:rPr>
          <w:rFonts w:ascii="arial" w:hAnsi="arial"/>
          <w:i/>
          <w:sz w:val="20"/>
        </w:rPr>
        <w:t>Non-transferability of awards</w:t>
      </w:r>
      <w:r>
        <w:rPr>
          <w:rFonts w:ascii="arial" w:hAnsi="arial"/>
          <w:sz w:val="20"/>
        </w:rPr>
        <w:t xml:space="preserve">. A participant may not transfer stock awards under the 2026 Plan other than by will, the laws of descent and distribution, or as otherwise provided under the 2026 Plan. </w:t>
      </w:r>
    </w:p>
    <w:p>
      <w:pPr>
        <w:pStyle w:val="TextBody"/>
        <w:bidi w:val="0"/>
        <w:spacing w:before="160" w:after="0"/>
        <w:jc w:val="left"/>
        <w:rPr>
          <w:rFonts w:ascii="arial" w:hAnsi="arial"/>
          <w:sz w:val="20"/>
        </w:rPr>
      </w:pPr>
      <w:r>
        <w:rPr>
          <w:rFonts w:ascii="arial" w:hAnsi="arial"/>
          <w:i/>
          <w:sz w:val="20"/>
        </w:rPr>
        <w:t>Certain adjustments</w:t>
      </w:r>
      <w:r>
        <w:rPr>
          <w:rFonts w:ascii="arial" w:hAnsi="arial"/>
          <w:sz w:val="20"/>
        </w:rPr>
        <w:t xml:space="preserve">.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 </w:t>
      </w:r>
    </w:p>
    <w:p>
      <w:pPr>
        <w:pStyle w:val="TextBody"/>
        <w:bidi w:val="0"/>
        <w:spacing w:before="160" w:after="0"/>
        <w:jc w:val="left"/>
        <w:rPr>
          <w:rFonts w:ascii="arial" w:hAnsi="arial"/>
          <w:sz w:val="20"/>
        </w:rPr>
      </w:pPr>
      <w:r>
        <w:rPr>
          <w:rFonts w:ascii="arial" w:hAnsi="arial"/>
          <w:i/>
          <w:sz w:val="20"/>
        </w:rPr>
        <w:t>Corporate transactions</w:t>
      </w:r>
      <w:r>
        <w:rPr>
          <w:rFonts w:ascii="arial" w:hAnsi="arial"/>
          <w:sz w:val="20"/>
        </w:rPr>
        <w:t xml:space="preserve">. The following generally applies to awards under the 2026 Plan in the event of a corporate transaction, unless otherwise provided in a participant’s award agreement or other written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agreement with us or one of our affiliates that is approved by the administrator or unless otherwise expressly provided by the administrator at the time of grant. </w:t>
      </w:r>
    </w:p>
    <w:p>
      <w:pPr>
        <w:pStyle w:val="TextBody"/>
        <w:bidi w:val="0"/>
        <w:spacing w:before="160" w:after="0"/>
        <w:jc w:val="left"/>
        <w:rPr>
          <w:rFonts w:ascii="arial" w:hAnsi="arial"/>
          <w:sz w:val="20"/>
        </w:rPr>
      </w:pPr>
      <w:r>
        <w:rPr>
          <w:rFonts w:ascii="arial" w:hAnsi="arial"/>
          <w:sz w:val="20"/>
        </w:rPr>
        <w:t xml:space="preserve">In the event of a corporate transaction, any awards outstanding under the 2026 Plan may be assumed, continued or substituted for by any surviving or acquiring corporation (or its parent company), and any reacquisition or repurchase rights held by us with respect to the award may be assigned to the successor (or its parent company). If the surviving or acquiring corporation (or its parent company) does not assume, continue or substitute for any portion of an award held by a participant whose continuous service has not terminated before the effective time of the transaction, or a current participant, the vesting (and exercisability, if applicable) of such portion of the award will be accelerated in full to a date before the effective time of the transaction (contingent upon the effectiveness of the transaction), and such portion of the award will terminate if not exercised (if applicable) at or before the effective time of the transaction, and any reacquisition or repurchase rights held by us with respect to such portion of the award will lapse (contingent upon the effectiveness of the transaction). With respect to the portion of any performance award that is not assumed, continued or substituted for, unless otherwise provided by an award agreement or other written agreement between us and the award holder, such portion of the award will accelerate at 100% of target. If the surviving or acquiring corporation (or its parent company) does not assume, continue or substitute for any portion of the award that is held by a person who is not a current participant, such portion of the award will terminate if not exercised (if applicable) before the effective time of the transaction, except that any reacquisition or repurchase rights held by us with respect to such portion of the award will not terminate and may continue to be exercised despite the transaction. </w:t>
      </w:r>
    </w:p>
    <w:p>
      <w:pPr>
        <w:pStyle w:val="TextBody"/>
        <w:bidi w:val="0"/>
        <w:spacing w:before="160" w:after="0"/>
        <w:jc w:val="left"/>
        <w:rPr>
          <w:rFonts w:ascii="arial" w:hAnsi="arial"/>
          <w:sz w:val="20"/>
        </w:rPr>
      </w:pPr>
      <w:r>
        <w:rPr>
          <w:rFonts w:ascii="arial" w:hAnsi="arial"/>
          <w:sz w:val="20"/>
        </w:rPr>
        <w:t xml:space="preserve">In the event any portion of the award will terminate before the effective time of a transaction, the administrator may provide, in its sole discretion, that the holder of the award will receive a payment equal in value to the excess (if any) of (i) the value of the property the participant would have received with respect to that portion of the award over (ii) any exercise price payable by such holder in connection with that portion of the award. </w:t>
      </w:r>
    </w:p>
    <w:p>
      <w:pPr>
        <w:pStyle w:val="TextBody"/>
        <w:bidi w:val="0"/>
        <w:spacing w:before="160" w:after="0"/>
        <w:jc w:val="left"/>
        <w:rPr>
          <w:rFonts w:ascii="arial" w:hAnsi="arial"/>
          <w:sz w:val="20"/>
        </w:rPr>
      </w:pPr>
      <w:r>
        <w:rPr>
          <w:rFonts w:ascii="arial" w:hAnsi="arial"/>
          <w:sz w:val="20"/>
        </w:rPr>
        <w:t xml:space="preserve">Under the 2026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or (iv) a merger or consolidation where we do survive the transaction but the shares of our common stock outstanding before such transaction are converted or exchanged into other property by virtue of the transaction. </w:t>
      </w:r>
    </w:p>
    <w:p>
      <w:pPr>
        <w:pStyle w:val="TextBody"/>
        <w:bidi w:val="0"/>
        <w:spacing w:before="160" w:after="0"/>
        <w:jc w:val="left"/>
        <w:rPr>
          <w:rFonts w:ascii="arial" w:hAnsi="arial"/>
          <w:sz w:val="20"/>
        </w:rPr>
      </w:pPr>
      <w:r>
        <w:rPr>
          <w:rFonts w:ascii="arial" w:hAnsi="arial"/>
          <w:i/>
          <w:sz w:val="20"/>
        </w:rPr>
        <w:t>Change in control</w:t>
      </w:r>
      <w:r>
        <w:rPr>
          <w:rFonts w:ascii="arial" w:hAnsi="arial"/>
          <w:sz w:val="20"/>
        </w:rPr>
        <w:t xml:space="preserve">. In the event of a change in control, as defined under the 2026 Plan, awards granted under the 2026 Plan will not receive automatic acceleration of vesting and exercisability, although this treatment may be provided for in an award agreement. </w:t>
      </w:r>
    </w:p>
    <w:p>
      <w:pPr>
        <w:pStyle w:val="TextBody"/>
        <w:bidi w:val="0"/>
        <w:spacing w:before="160" w:after="0"/>
        <w:jc w:val="left"/>
        <w:rPr>
          <w:rFonts w:ascii="arial" w:hAnsi="arial"/>
          <w:sz w:val="20"/>
        </w:rPr>
      </w:pPr>
      <w:r>
        <w:rPr>
          <w:rFonts w:ascii="arial" w:hAnsi="arial"/>
          <w:sz w:val="20"/>
        </w:rPr>
        <w:t xml:space="preserve">Under the 2026 Plan, a change in control is defined to include: (i) the acquisition by any person or company of more than 50% of the combined voting power of our then outstanding securities, (ii) a consummated merger, consolidation or similar transaction in which our stockholders immediately before the transaction do not after the transaction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160" w:after="0"/>
        <w:jc w:val="left"/>
        <w:rPr>
          <w:rFonts w:ascii="arial" w:hAnsi="arial"/>
          <w:sz w:val="20"/>
        </w:rPr>
      </w:pPr>
      <w:r>
        <w:rPr>
          <w:rFonts w:ascii="arial" w:hAnsi="arial"/>
          <w:i/>
          <w:sz w:val="20"/>
        </w:rPr>
        <w:t xml:space="preserve">Clawback. </w:t>
      </w:r>
      <w:r>
        <w:rPr>
          <w:rFonts w:ascii="arial" w:hAnsi="arial"/>
          <w:sz w:val="20"/>
        </w:rPr>
        <w:t xml:space="preserve">Each award granted under the 2026 Plan will be subject to reduction, cancellation, forfeiture, or recoupment in accordance with any clawback policy of ours that is in effect as of the date the award is granted and any clawback policy that we are required to adopt under the listing standards of any national securities exchange or association on which our securities are listed or as is otherwise required by applicable laws.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addition, the administrator may impose such other clawback, recovery or recoupment provisions in an award agreement as the administrator determines necessary or appropriate. </w:t>
      </w:r>
    </w:p>
    <w:p>
      <w:pPr>
        <w:pStyle w:val="TextBody"/>
        <w:bidi w:val="0"/>
        <w:spacing w:before="160" w:after="0"/>
        <w:jc w:val="left"/>
        <w:rPr>
          <w:rFonts w:ascii="arial" w:hAnsi="arial"/>
          <w:sz w:val="20"/>
        </w:rPr>
      </w:pPr>
      <w:r>
        <w:rPr>
          <w:rFonts w:ascii="arial" w:hAnsi="arial"/>
          <w:i/>
          <w:sz w:val="20"/>
        </w:rPr>
        <w:t>Plan amendment or termination</w:t>
      </w:r>
      <w:r>
        <w:rPr>
          <w:rFonts w:ascii="arial" w:hAnsi="arial"/>
          <w:sz w:val="20"/>
        </w:rPr>
        <w:t xml:space="preserve">. Our board of directors has the authority to amend, suspend, or terminate the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the 2026 Plan became effective. No awards may be granted under the 2026 Plan while it is suspended or after it is terminated. </w:t>
      </w:r>
    </w:p>
    <w:p>
      <w:pPr>
        <w:pStyle w:val="TextBody"/>
        <w:bidi w:val="0"/>
        <w:spacing w:before="160" w:after="0"/>
        <w:jc w:val="left"/>
        <w:rPr>
          <w:rFonts w:ascii="arial" w:hAnsi="arial"/>
          <w:b/>
          <w:i/>
          <w:sz w:val="20"/>
        </w:rPr>
      </w:pPr>
      <w:r>
        <w:rPr>
          <w:rFonts w:ascii="arial" w:hAnsi="arial"/>
          <w:b/>
          <w:i/>
          <w:sz w:val="20"/>
        </w:rPr>
        <w:t xml:space="preserve">ESPP </w:t>
      </w:r>
    </w:p>
    <w:p>
      <w:pPr>
        <w:pStyle w:val="TextBody"/>
        <w:bidi w:val="0"/>
        <w:spacing w:before="160" w:after="0"/>
        <w:jc w:val="left"/>
        <w:rPr>
          <w:rFonts w:ascii="arial" w:hAnsi="arial"/>
          <w:sz w:val="20"/>
        </w:rPr>
      </w:pPr>
      <w:r>
        <w:rPr>
          <w:rFonts w:ascii="arial" w:hAnsi="arial"/>
          <w:sz w:val="20"/>
        </w:rPr>
        <w:t xml:space="preserve">Our board of directors adopted, and our stockholders approved, the ESPP. Subject to board and stockholder approval, the ESPP became effective immediately prior to the effective date of the registration statement of which this prospectus forms a part but will not be utilized until after the completion of this offering. </w:t>
      </w:r>
    </w:p>
    <w:p>
      <w:pPr>
        <w:pStyle w:val="TextBody"/>
        <w:bidi w:val="0"/>
        <w:spacing w:before="160" w:after="0"/>
        <w:jc w:val="left"/>
        <w:rPr>
          <w:rFonts w:ascii="arial" w:hAnsi="arial"/>
          <w:sz w:val="20"/>
        </w:rPr>
      </w:pPr>
      <w:r>
        <w:rPr>
          <w:rFonts w:ascii="arial" w:hAnsi="arial"/>
          <w:i/>
          <w:sz w:val="20"/>
        </w:rPr>
        <w:t>Purpose</w:t>
      </w:r>
      <w:r>
        <w:rPr>
          <w:rFonts w:ascii="arial" w:hAnsi="arial"/>
          <w:sz w:val="20"/>
        </w:rPr>
        <w:t xml:space="preserve">. The purpose of the ESPP is to secure and retain the services of new employees, to retain the services of existing employees, and to provide incentives for such individuals to exert maximum efforts toward our success and that of our affiliates. The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w:t>
      </w:r>
    </w:p>
    <w:p>
      <w:pPr>
        <w:pStyle w:val="TextBody"/>
        <w:bidi w:val="0"/>
        <w:spacing w:before="160" w:after="0"/>
        <w:jc w:val="left"/>
        <w:rPr>
          <w:rFonts w:ascii="arial" w:hAnsi="arial"/>
          <w:sz w:val="20"/>
        </w:rPr>
      </w:pPr>
      <w:r>
        <w:rPr>
          <w:rFonts w:ascii="arial" w:hAnsi="arial"/>
          <w:i/>
          <w:sz w:val="20"/>
        </w:rPr>
        <w:t>Authorized shares</w:t>
      </w:r>
      <w:r>
        <w:rPr>
          <w:rFonts w:ascii="arial" w:hAnsi="arial"/>
          <w:sz w:val="20"/>
        </w:rPr>
        <w:t xml:space="preserve">. Following this offering, the ESPP authorizes the issuance of 656,400 shares of our common stock under purchase rights granted to our employees or to employees of any of our designated affiliates. The number of shares of our common stock reserved for issuance will automatically increase on January 1 of each calendar year, from January 1, 2027 through January 1, 2036, by the lesser of (i) 1% of the total number of shares of each and every class of our common stock outstanding on December 31 of the preceding year and (ii) 1,969,200 shares; provided that before the date of any such increase, the board of directors may determine that such increase will be less than such amount.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a duly authorized committee thereof, will administer the ESPP. In this summary of the ESPP, we sometimes refer to our board of directors or the applicable committee with the power to administer the ESPP as the administrator. </w:t>
      </w:r>
    </w:p>
    <w:p>
      <w:pPr>
        <w:pStyle w:val="TextBody"/>
        <w:bidi w:val="0"/>
        <w:spacing w:before="160" w:after="0"/>
        <w:jc w:val="left"/>
        <w:rPr>
          <w:rFonts w:ascii="arial" w:hAnsi="arial"/>
          <w:sz w:val="20"/>
        </w:rPr>
      </w:pPr>
      <w:r>
        <w:rPr>
          <w:rFonts w:ascii="arial" w:hAnsi="arial"/>
          <w:sz w:val="20"/>
        </w:rPr>
        <w:t xml:space="preserve">Subject to the limitations of the ESPP, the administrator’s powers include the authority to (i) determine how and when purchase rights under the ESPP will be granted and the provisions of each offering under the ESPP, (ii) designate which affiliates will be eligible to participate in the ESPP, (iii) construe, interpret, and settle all controversies regarding the ESPP and the purchase rights granted under the ESPP, (iv) establish, amend, and revoke rules and regulations for its administration, (v) suspend, terminate and amend the Plan (subject to the limitations described below), (vi) exercise such powers and perform such acts as it deems necessary or expedient to promote the best interests of ours and our affiliates, (vii) carry out the intent that the ESPP be treated as an employee stock purchase plan with respect to the Section 423 component, and (viii) adopt such rules, procedures and sub-plans as are necessary or appropriate to permit or facilitate participation in the ESPP by employees who are non-U.S. nationals or employed or located outside the United States. To the extent permitted by applicable law, our board of directors or such committee may delegate some or all of its authority under the ESPP to one or more of our officers or other persons. All determinations, interpretations, and constructions made by the administrator will not be subject to review by any person and will be final, binding and conclusive on all persons. </w:t>
      </w:r>
    </w:p>
    <w:p>
      <w:pPr>
        <w:pStyle w:val="TextBody"/>
        <w:bidi w:val="0"/>
        <w:spacing w:before="160" w:after="0"/>
        <w:jc w:val="left"/>
        <w:rPr>
          <w:rFonts w:ascii="arial" w:hAnsi="arial"/>
          <w:sz w:val="20"/>
        </w:rPr>
      </w:pPr>
      <w:r>
        <w:rPr>
          <w:rFonts w:ascii="arial" w:hAnsi="arial"/>
          <w:i/>
          <w:sz w:val="20"/>
        </w:rPr>
        <w:t>Offerings</w:t>
      </w:r>
      <w:r>
        <w:rPr>
          <w:rFonts w:ascii="arial" w:hAnsi="arial"/>
          <w:sz w:val="20"/>
        </w:rPr>
        <w:t xml:space="preserve">.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periods within each offering. Each offering will have one or more purchase dates on which shares will be purchased for employees participating in the offering. An offering under the ESPP may be terminated under certain circumstances. </w:t>
      </w:r>
    </w:p>
    <w:p>
      <w:pPr>
        <w:pStyle w:val="TextBody"/>
        <w:bidi w:val="0"/>
        <w:spacing w:before="160" w:after="0"/>
        <w:jc w:val="left"/>
        <w:rPr>
          <w:rFonts w:ascii="arial" w:hAnsi="arial"/>
          <w:sz w:val="20"/>
        </w:rPr>
      </w:pPr>
      <w:r>
        <w:rPr>
          <w:rFonts w:ascii="arial" w:hAnsi="arial"/>
          <w:i/>
          <w:sz w:val="20"/>
        </w:rPr>
        <w:t>Limitations</w:t>
      </w:r>
      <w:r>
        <w:rPr>
          <w:rFonts w:ascii="arial" w:hAnsi="arial"/>
          <w:sz w:val="20"/>
        </w:rPr>
        <w:t xml:space="preserve">. Employees may have to satisfy one or more of the following service requirements before participating in the ESPP, as determined by the administrator, including: (i) customary employment with us or one of our affiliates for more than 20 hours per week and more than five months per calendar year or (ii) continuous employment with us or one of our affiliates for a minimum period of time (less than two years). No employee may be granted rights to purchase shares under the ESPP that accrue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would be deemed to own capital stock and/or hold outstanding options to purchase such stock possessing 5% or more of the total combined voting power or value of all classes of capital stock of ours or of any parent or subsidiary of ours under Section 424(d) of the Code. </w:t>
      </w:r>
    </w:p>
    <w:p>
      <w:pPr>
        <w:pStyle w:val="TextBody"/>
        <w:bidi w:val="0"/>
        <w:spacing w:before="160" w:after="0"/>
        <w:jc w:val="left"/>
        <w:rPr>
          <w:rFonts w:ascii="arial" w:hAnsi="arial"/>
          <w:sz w:val="20"/>
        </w:rPr>
      </w:pPr>
      <w:r>
        <w:rPr>
          <w:rFonts w:ascii="arial" w:hAnsi="arial"/>
          <w:i/>
          <w:sz w:val="20"/>
        </w:rPr>
        <w:t xml:space="preserve">Contributions. </w:t>
      </w:r>
      <w:r>
        <w:rPr>
          <w:rFonts w:ascii="arial" w:hAnsi="arial"/>
          <w:sz w:val="20"/>
        </w:rPr>
        <w:t xml:space="preserve">Generally, all regular employees, including executive officers, employed by us or by any of our designated affiliates, will be eligible to participate in the ESPP and to contribute, normally through payroll deductions, up to a maximum percentage of their earnings (as defined in the ESPP) or up to a set dollar amount for the purchase of shares under the ESPP. </w:t>
      </w:r>
    </w:p>
    <w:p>
      <w:pPr>
        <w:pStyle w:val="TextBody"/>
        <w:bidi w:val="0"/>
        <w:spacing w:before="160" w:after="0"/>
        <w:jc w:val="left"/>
        <w:rPr>
          <w:rFonts w:ascii="arial" w:hAnsi="arial"/>
          <w:sz w:val="20"/>
        </w:rPr>
      </w:pPr>
      <w:r>
        <w:rPr>
          <w:rFonts w:ascii="arial" w:hAnsi="arial"/>
          <w:i/>
          <w:sz w:val="20"/>
        </w:rPr>
        <w:t>Exercise of purchase rights</w:t>
      </w:r>
      <w:r>
        <w:rPr>
          <w:rFonts w:ascii="arial" w:hAnsi="arial"/>
          <w:sz w:val="20"/>
        </w:rPr>
        <w:t xml:space="preserve">. On each purchase date of an offering, shares will be purchased for the accounts of employees participating in the offering at a price per share that is at least the lesser of (i) 85% of the fair market value of a share of our common stock on the first date of the offering or (ii) 85% of the fair market value of a share of our common stock on the date of purchase. A participant may purchase up to the maximum number of shares permitted by the ESPP and the terms of the offering. The administrator will have the discretion to structure an offering so that if the fair market value of a share of our common stock on the first trading day of a new purchase period within that offering does not exceed the fair market value of a share of common stock on the first day of that offering, then (i) that offering will terminate immediately, and (ii) the participants in such terminated offering will be automatically enrolled in a new offering beginning on that trading day. Participants may end their participation at any time during an offering and will be paid their accrued contributions that have not yet been used to purchase shares. Participation ends automatically upon termination of employment with us. </w:t>
      </w:r>
    </w:p>
    <w:p>
      <w:pPr>
        <w:pStyle w:val="TextBody"/>
        <w:bidi w:val="0"/>
        <w:spacing w:before="160" w:after="0"/>
        <w:jc w:val="left"/>
        <w:rPr>
          <w:rFonts w:ascii="arial" w:hAnsi="arial"/>
          <w:sz w:val="20"/>
        </w:rPr>
      </w:pPr>
      <w:r>
        <w:rPr>
          <w:rFonts w:ascii="arial" w:hAnsi="arial"/>
          <w:i/>
          <w:sz w:val="20"/>
        </w:rPr>
        <w:t>Certain adjustments</w:t>
      </w:r>
      <w:r>
        <w:rPr>
          <w:rFonts w:ascii="arial" w:hAnsi="arial"/>
          <w:sz w:val="20"/>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administrator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160" w:after="0"/>
        <w:jc w:val="left"/>
        <w:rPr>
          <w:rFonts w:ascii="arial" w:hAnsi="arial"/>
          <w:sz w:val="20"/>
        </w:rPr>
      </w:pPr>
      <w:r>
        <w:rPr>
          <w:rFonts w:ascii="arial" w:hAnsi="arial"/>
          <w:i/>
          <w:sz w:val="20"/>
        </w:rPr>
        <w:t xml:space="preserve">Corporate transactions. </w:t>
      </w:r>
      <w:r>
        <w:rPr>
          <w:rFonts w:ascii="arial" w:hAnsi="arial"/>
          <w:sz w:val="20"/>
        </w:rPr>
        <w:t xml:space="preserve">In the event of certain significant corporate transactions (including the 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or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acquiring entity (or its parent company). If the surviving or acquiring entity (or its parent company) elects not to assume, continue, or substitute for such purchase rights, then the participants’ accumulated payroll contributions will be used to purchase shares prior to such corporate transaction, and such purchase rights will terminate immediately after such purchase. </w:t>
      </w:r>
    </w:p>
    <w:p>
      <w:pPr>
        <w:pStyle w:val="TextBody"/>
        <w:bidi w:val="0"/>
        <w:spacing w:before="160" w:after="0"/>
        <w:jc w:val="left"/>
        <w:rPr>
          <w:rFonts w:ascii="arial" w:hAnsi="arial"/>
          <w:sz w:val="20"/>
        </w:rPr>
      </w:pPr>
      <w:r>
        <w:rPr>
          <w:rFonts w:ascii="arial" w:hAnsi="arial"/>
          <w:i/>
          <w:sz w:val="20"/>
        </w:rPr>
        <w:t>Non-transferability of awards</w:t>
      </w:r>
      <w:r>
        <w:rPr>
          <w:rFonts w:ascii="arial" w:hAnsi="arial"/>
          <w:sz w:val="20"/>
        </w:rPr>
        <w:t xml:space="preserve">. A participant will not be permitted to transfer contributions credited to such participant’s account or rights granted under the ESPP (other than by will, the laws of descent and distribution or as otherwise provided under the ESPP). </w:t>
      </w:r>
    </w:p>
    <w:p>
      <w:pPr>
        <w:pStyle w:val="TextBody"/>
        <w:bidi w:val="0"/>
        <w:spacing w:before="160" w:after="0"/>
        <w:jc w:val="left"/>
        <w:rPr>
          <w:rFonts w:ascii="arial" w:hAnsi="arial"/>
          <w:sz w:val="20"/>
        </w:rPr>
      </w:pPr>
      <w:r>
        <w:rPr>
          <w:rFonts w:ascii="arial" w:hAnsi="arial"/>
          <w:i/>
          <w:sz w:val="20"/>
        </w:rPr>
        <w:t xml:space="preserve">Plan amendment or termination. </w:t>
      </w:r>
      <w:r>
        <w:rPr>
          <w:rFonts w:ascii="arial" w:hAnsi="arial"/>
          <w:sz w:val="20"/>
        </w:rPr>
        <w:t xml:space="preserve">The administrator has the authority to amend or terminate the ESPP, provided that except in certain circumstances such amendment or termination may not materially impair any outstanding purchase rights without the holder’s consent. We will obtain stockholder approval of any amendment to the ESPP as required by applicable law or listing requirements. If the ESPP is terminated, the administrator, in its discretion, may elect to terminate all outstanding offerings either immediately or upon completion of the purchase of shares of our common stock on the next purchase date (which may be sooner than originally scheduled, if determined by the administrator in its discretion), or may elect to permit offerings to expire in accordance with their terms. </w:t>
      </w:r>
    </w:p>
    <w:p>
      <w:pPr>
        <w:pStyle w:val="TextBody"/>
        <w:bidi w:val="0"/>
        <w:spacing w:before="160" w:after="0"/>
        <w:jc w:val="left"/>
        <w:rPr>
          <w:rFonts w:ascii="arial" w:hAnsi="arial"/>
          <w:b/>
          <w:i/>
          <w:sz w:val="20"/>
        </w:rPr>
      </w:pPr>
      <w:r>
        <w:rPr>
          <w:rFonts w:ascii="arial" w:hAnsi="arial"/>
          <w:b/>
          <w:i/>
          <w:sz w:val="20"/>
        </w:rPr>
        <w:t xml:space="preserve">Employee Phantom Option Plan </w:t>
      </w:r>
    </w:p>
    <w:p>
      <w:pPr>
        <w:pStyle w:val="TextBody"/>
        <w:bidi w:val="0"/>
        <w:spacing w:before="160" w:after="0"/>
        <w:jc w:val="left"/>
        <w:rPr>
          <w:rFonts w:ascii="arial" w:hAnsi="arial"/>
          <w:sz w:val="20"/>
        </w:rPr>
      </w:pPr>
      <w:r>
        <w:rPr>
          <w:rFonts w:ascii="arial" w:hAnsi="arial"/>
          <w:sz w:val="20"/>
        </w:rPr>
        <w:t xml:space="preserve">Our Employee Phantom Option Plan (the “Phantom Plan”) was adopted by our board of directors on August 12, 2025. </w:t>
      </w:r>
    </w:p>
    <w:p>
      <w:pPr>
        <w:pStyle w:val="TextBody"/>
        <w:bidi w:val="0"/>
        <w:spacing w:before="160" w:after="0"/>
        <w:jc w:val="left"/>
        <w:rPr>
          <w:rFonts w:ascii="arial" w:hAnsi="arial"/>
          <w:sz w:val="20"/>
        </w:rPr>
      </w:pPr>
      <w:r>
        <w:rPr>
          <w:rFonts w:ascii="arial" w:hAnsi="arial"/>
          <w:i/>
          <w:sz w:val="20"/>
        </w:rPr>
        <w:t>Awards; eligibility</w:t>
      </w:r>
      <w:r>
        <w:rPr>
          <w:rFonts w:ascii="arial" w:hAnsi="arial"/>
          <w:sz w:val="20"/>
        </w:rPr>
        <w:t xml:space="preserve">. Our Phantom Plan provides for the grant of phantom options to acquire phantom shares. Individuals who are employees of any subsidiary of ours incorporated in the People’s Republic of China (excluding Taiwan and the Special Administrative Regions of Hong Kong and Macau) and are not U.S. taxpayers may be granted phantom options under the Phantom Plan. Following this offering, phantom shares may be converted into shares of our Class B common stock, as described further below. </w:t>
      </w:r>
    </w:p>
    <w:p>
      <w:pPr>
        <w:pStyle w:val="TextBody"/>
        <w:bidi w:val="0"/>
        <w:spacing w:before="160" w:after="0"/>
        <w:jc w:val="left"/>
        <w:rPr>
          <w:rFonts w:ascii="arial" w:hAnsi="arial"/>
          <w:sz w:val="20"/>
        </w:rPr>
      </w:pPr>
      <w:r>
        <w:rPr>
          <w:rFonts w:ascii="arial" w:hAnsi="arial"/>
          <w:i/>
          <w:sz w:val="20"/>
        </w:rPr>
        <w:t>Phantom share limit</w:t>
      </w:r>
      <w:r>
        <w:rPr>
          <w:rFonts w:ascii="arial" w:hAnsi="arial"/>
          <w:sz w:val="20"/>
        </w:rPr>
        <w:t xml:space="preserve">. Subject to adjustment upon certain changes in our capitalization (as described below), not more than 124,069 phantom shares may be issued under the Phantom Plan. As of December 31, 2025, options to purchase 20,253 phantom shares were outstanding under the Phantom Plan, and 103,816 phantom shares remained available for issuance under the Phantom Plan. </w:t>
      </w:r>
    </w:p>
    <w:p>
      <w:pPr>
        <w:pStyle w:val="TextBody"/>
        <w:bidi w:val="0"/>
        <w:spacing w:before="160" w:after="0"/>
        <w:jc w:val="left"/>
        <w:rPr>
          <w:rFonts w:ascii="arial" w:hAnsi="arial"/>
          <w:sz w:val="20"/>
        </w:rPr>
      </w:pPr>
      <w:r>
        <w:rPr>
          <w:rFonts w:ascii="arial" w:hAnsi="arial"/>
          <w:i/>
          <w:sz w:val="20"/>
        </w:rPr>
        <w:t>Plan</w:t>
      </w:r>
      <w:r>
        <w:rPr>
          <w:rFonts w:ascii="arial" w:hAnsi="arial"/>
          <w:sz w:val="20"/>
        </w:rPr>
        <w:t> </w:t>
      </w:r>
      <w:r>
        <w:rPr>
          <w:rFonts w:ascii="arial" w:hAnsi="arial"/>
          <w:i/>
          <w:sz w:val="20"/>
        </w:rPr>
        <w:t>administration</w:t>
      </w:r>
      <w:r>
        <w:rPr>
          <w:rFonts w:ascii="arial" w:hAnsi="arial"/>
          <w:sz w:val="20"/>
        </w:rPr>
        <w:t xml:space="preserve">. Our board of directors or one or more committees of our board of directors may administer our Phantom Plan. We sometimes refer to our board of directors, or the applicable committee appointed by our board of directors, as the administrator. Subject to the terms of our Phantom Plan, the administrator has full authority and discretion to take any actions it deems necessary or advisable for the administration of our Phantom Plan. All decisions, interpretations, and other actions of the administrator will be final and binding on all participants and persons deriving their rights from a participant. </w:t>
      </w:r>
    </w:p>
    <w:p>
      <w:pPr>
        <w:pStyle w:val="TextBody"/>
        <w:bidi w:val="0"/>
        <w:spacing w:before="160" w:after="0"/>
        <w:jc w:val="left"/>
        <w:rPr>
          <w:rFonts w:ascii="arial" w:hAnsi="arial"/>
          <w:sz w:val="20"/>
        </w:rPr>
      </w:pPr>
      <w:r>
        <w:rPr>
          <w:rFonts w:ascii="arial" w:hAnsi="arial"/>
          <w:sz w:val="20"/>
        </w:rPr>
        <w:t xml:space="preserve">Within the limitations of our Phantom Plan, the administrator also has the authority to modify, reprice, extend or assume outstanding phantom options or to accept the cancellation of outstanding phantom options (whether granted by us or another issuer) in return for the grant of new phantom options or a different type of award for the same or a different number of phantom shares and at the same or a different nominal exercise price. However, no modification of a phantom option may impair the participant’s rights or increase the participant’s obligations under the phantom option without the consent of the participant (except as otherwise permitted by the Phantom Plan). </w:t>
      </w:r>
    </w:p>
    <w:p>
      <w:pPr>
        <w:pStyle w:val="TextBody"/>
        <w:bidi w:val="0"/>
        <w:spacing w:before="160" w:after="0"/>
        <w:jc w:val="left"/>
        <w:rPr>
          <w:rFonts w:ascii="arial" w:hAnsi="arial"/>
          <w:sz w:val="20"/>
        </w:rPr>
      </w:pPr>
      <w:r>
        <w:rPr>
          <w:rFonts w:ascii="arial" w:hAnsi="arial"/>
          <w:i/>
          <w:sz w:val="20"/>
        </w:rPr>
        <w:t>Phantom options.</w:t>
      </w:r>
      <w:r>
        <w:rPr>
          <w:rFonts w:ascii="arial" w:hAnsi="arial"/>
          <w:sz w:val="20"/>
        </w:rPr>
        <w:t xml:space="preserve"> Subject to the terms and conditions of our Phantom Plan, the administrator determines the terms and conditions of phantom options, such as the number of phantom shares subject to the phantom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option, the nominal exercise price of the phantom option, the term of the phantom option and the time(s) at which the phantom option may become exercisable. </w:t>
      </w:r>
    </w:p>
    <w:p>
      <w:pPr>
        <w:pStyle w:val="TextBody"/>
        <w:bidi w:val="0"/>
        <w:spacing w:before="160" w:after="0"/>
        <w:jc w:val="left"/>
        <w:rPr>
          <w:rFonts w:ascii="arial" w:hAnsi="arial"/>
          <w:sz w:val="20"/>
        </w:rPr>
      </w:pPr>
      <w:r>
        <w:rPr>
          <w:rFonts w:ascii="arial" w:hAnsi="arial"/>
          <w:i/>
          <w:sz w:val="20"/>
        </w:rPr>
        <w:t>Termination of service.</w:t>
      </w:r>
      <w:r>
        <w:rPr>
          <w:rFonts w:ascii="arial" w:hAnsi="arial"/>
          <w:sz w:val="20"/>
        </w:rPr>
        <w:t xml:space="preserve"> Unless otherwise provided in a participant’s award letter, if a participant’s service terminates, the participant’s then-vested phantom options granted under our Phantom Plan will remain exercisable following termination for a period of three months if the termination is for any reason other than death or disability (as defined in our Phantom Plan), for a period of six months if the termination is due to disability, for a period of 12 months if the termination is due to death. In no event may a phantom option be exercised later than the expiration of its term. </w:t>
      </w:r>
    </w:p>
    <w:p>
      <w:pPr>
        <w:pStyle w:val="TextBody"/>
        <w:bidi w:val="0"/>
        <w:spacing w:before="160" w:after="0"/>
        <w:jc w:val="left"/>
        <w:rPr>
          <w:rFonts w:ascii="arial" w:hAnsi="arial"/>
          <w:sz w:val="20"/>
        </w:rPr>
      </w:pPr>
      <w:r>
        <w:rPr>
          <w:rFonts w:ascii="arial" w:hAnsi="arial"/>
          <w:sz w:val="20"/>
        </w:rPr>
        <w:t xml:space="preserve">If a participant’s service terminates for cause under the applicable law of the People’s Republic of China, the participant’s phantom shares will be forfeited. Upon any other termination of service, a participant will retain their phantom shares. </w:t>
      </w:r>
    </w:p>
    <w:p>
      <w:pPr>
        <w:pStyle w:val="TextBody"/>
        <w:bidi w:val="0"/>
        <w:spacing w:before="160" w:after="0"/>
        <w:jc w:val="left"/>
        <w:rPr>
          <w:rFonts w:ascii="arial" w:hAnsi="arial"/>
          <w:sz w:val="20"/>
        </w:rPr>
      </w:pPr>
      <w:r>
        <w:rPr>
          <w:rFonts w:ascii="arial" w:hAnsi="arial"/>
          <w:i/>
          <w:sz w:val="20"/>
        </w:rPr>
        <w:t>Transferability.</w:t>
      </w:r>
      <w:r>
        <w:rPr>
          <w:rFonts w:ascii="arial" w:hAnsi="arial"/>
          <w:sz w:val="20"/>
        </w:rPr>
        <w:t xml:space="preserve"> Our Phantom Plan generally does not allow for the transfer of phantom options or phantom shares except by a beneficiary designation, a will or the laws of descent and distribution. </w:t>
      </w:r>
    </w:p>
    <w:p>
      <w:pPr>
        <w:pStyle w:val="TextBody"/>
        <w:bidi w:val="0"/>
        <w:spacing w:before="160" w:after="0"/>
        <w:jc w:val="left"/>
        <w:rPr>
          <w:rFonts w:ascii="arial" w:hAnsi="arial"/>
          <w:sz w:val="20"/>
        </w:rPr>
      </w:pPr>
      <w:r>
        <w:rPr>
          <w:rFonts w:ascii="arial" w:hAnsi="arial"/>
          <w:i/>
          <w:sz w:val="20"/>
        </w:rPr>
        <w:t>Changes in capitalization</w:t>
      </w:r>
      <w:r>
        <w:rPr>
          <w:rFonts w:ascii="arial" w:hAnsi="arial"/>
          <w:sz w:val="20"/>
        </w:rPr>
        <w:t xml:space="preserve">. In the event of a subdivision of our outstanding Class B common stock, a stock dividend, a combination or consolidation of our outstanding Class B common stock into a lesser number of shares, a reclassification or any other increase or decrease in the number of issued shares of our Class B common stock effected without receipt of consideration by us, proportionate adjustments will automatically be made in each of (i) the number and kind of phantom shares available under our Phantom Plan, (ii) the number and kind of phantom shares covered by each outstanding phantom option that has not yet expired, and (iii) the nominal exercise price under each outstanding phantom option. In the event of an extraordinary dividend payable in a form other than shares of our Class B common stock in an amount that has a material effect on the fair market value of our Class B common stock, a recapitalization, spin-off, or other similar occurrence, the administrator at its sole discretion may make appropriate adjustments to one or more of the items described above. </w:t>
      </w:r>
    </w:p>
    <w:p>
      <w:pPr>
        <w:pStyle w:val="TextBody"/>
        <w:bidi w:val="0"/>
        <w:spacing w:before="160" w:after="0"/>
        <w:jc w:val="left"/>
        <w:rPr>
          <w:rFonts w:ascii="arial" w:hAnsi="arial"/>
          <w:sz w:val="20"/>
        </w:rPr>
      </w:pPr>
      <w:r>
        <w:rPr>
          <w:rFonts w:ascii="arial" w:hAnsi="arial"/>
          <w:i/>
          <w:sz w:val="20"/>
        </w:rPr>
        <w:t>Sale transaction</w:t>
      </w:r>
      <w:r>
        <w:rPr>
          <w:rFonts w:ascii="arial" w:hAnsi="arial"/>
          <w:sz w:val="20"/>
        </w:rPr>
        <w:t xml:space="preserve">. In the event of a sale, merger, consolidation or other transaction which involves the sale to a third party of all or substantially all of (i) our shares of Class B common stock or (ii) the assets of ours and our affiliates: (a) all phantom options that have not been exercised as of such date, whether vested or not, will automatically expire and become null and void; (b) all phantom shares will be cancelled; and (c) each holder of a phantom share shall be entitled to receive from our applicable subsidiary, with respect to each phantom share, if greater than zero, an amount in renminbi (as determined by the administrator in its absolute discretion) that is equivalent to: (1) the average amount which the holders of a share of our Class B common stock receive per share in connection with the transaction; minus (2) the nominal exercise price with respect to that phantom share; plus (3) the aggregate dividends that have accrued with respect to that phantom share prior to the transaction. The administrator has discretion to accelerate, in whole or part, the vesting and exercisability of a phantom option in connection with a sale event described above. </w:t>
      </w:r>
    </w:p>
    <w:p>
      <w:pPr>
        <w:pStyle w:val="TextBody"/>
        <w:bidi w:val="0"/>
        <w:spacing w:before="160" w:after="0"/>
        <w:jc w:val="left"/>
        <w:rPr>
          <w:rFonts w:ascii="arial" w:hAnsi="arial"/>
          <w:sz w:val="20"/>
        </w:rPr>
      </w:pPr>
      <w:r>
        <w:rPr>
          <w:rFonts w:ascii="arial" w:hAnsi="arial"/>
          <w:i/>
          <w:sz w:val="20"/>
        </w:rPr>
        <w:t>Conversion of phantom shares upon an IPO</w:t>
      </w:r>
      <w:r>
        <w:rPr>
          <w:rFonts w:ascii="arial" w:hAnsi="arial"/>
          <w:sz w:val="20"/>
        </w:rPr>
        <w:t xml:space="preserve">. Upon the occurrence of both this offering and our applicable subsidiary satisfying all requirements under the laws and regulations of the People’s Republic of China for the registration of the 2026 Plan with the relevant regulatory authorities and for holders of phantom shares to exercise their right to convert the phantom shares into shares of our Class B common stock, then (i) subject to the terms of our 2026 Plan, all phantom options will automatically be converted to options to purchase shares of our Class B common stock under our 2026 Plan, and (ii) each holder of phantom shares generally will have the right to elect, at any time during the 30-day period after such holder receives written notice from us, to convert such holder’s phantom shares into shares of our Class B common stock, at a price equal to: (a) the nominal exercise price of those phantom shares, minus (b) the aggregate dividends that have accrued with respect to that phantom share prior to the commencement of such 30-day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Corporate transaction.</w:t>
      </w:r>
      <w:r>
        <w:rPr>
          <w:rFonts w:ascii="arial" w:hAnsi="arial"/>
          <w:sz w:val="20"/>
        </w:rPr>
        <w:t xml:space="preserve"> Following this offering, if we are a party to a merger or consolidation, or in the event of a sale of all or substantially all of our stock or assets, shares of our Class B common stock acquired under the Phantom Plan and outstanding options to purchase shares of our Class B common stock under our Phantom Plan will be treated in the manner set forth in the definitive transaction agreement, and the applicable provisions of the 2018 Plan shall otherwise apply to such shares and options. </w:t>
      </w:r>
    </w:p>
    <w:p>
      <w:pPr>
        <w:pStyle w:val="TextBody"/>
        <w:bidi w:val="0"/>
        <w:spacing w:before="160" w:after="0"/>
        <w:jc w:val="left"/>
        <w:rPr>
          <w:rFonts w:ascii="arial" w:hAnsi="arial"/>
          <w:sz w:val="20"/>
        </w:rPr>
      </w:pPr>
      <w:r>
        <w:rPr>
          <w:rFonts w:ascii="arial" w:hAnsi="arial"/>
          <w:i/>
          <w:sz w:val="20"/>
        </w:rPr>
        <w:t>Amendment and termination</w:t>
      </w:r>
      <w:r>
        <w:rPr>
          <w:rFonts w:ascii="arial" w:hAnsi="arial"/>
          <w:sz w:val="20"/>
        </w:rPr>
        <w:t xml:space="preserve">. The administrator may amend, suspend or terminate our Phantom Plan at any time and for any reason, subject to stockholder approval where such approval is required by applicable laws, regulations, or rules. No termination or amendment of our Phantom Plan may affect any then-outstanding award (except as otherwise provided in the Phantom Plan). The Phantom Plan shall terminate automatically 10 years after the later of (i) the date when our board of directors adopted the Phantom Plan and (ii) the date when our board of directors approved the most recent increase in the number of shares of our Class B common stock reserved for the Phantom Plan that was also approved by our stockholders. </w:t>
      </w:r>
    </w:p>
    <w:p>
      <w:pPr>
        <w:pStyle w:val="TextBody"/>
        <w:bidi w:val="0"/>
        <w:spacing w:before="320" w:after="0"/>
        <w:jc w:val="left"/>
        <w:rPr>
          <w:rFonts w:ascii="arial" w:hAnsi="arial"/>
          <w:b/>
          <w:sz w:val="24"/>
        </w:rPr>
      </w:pPr>
      <w:r>
        <w:rPr>
          <w:rFonts w:ascii="arial" w:hAnsi="arial"/>
          <w:b/>
          <w:sz w:val="24"/>
        </w:rPr>
        <w:t xml:space="preserve">Non-employee director compensation </w:t>
      </w:r>
    </w:p>
    <w:p>
      <w:pPr>
        <w:pStyle w:val="TextBody"/>
        <w:bidi w:val="0"/>
        <w:spacing w:before="160" w:after="0"/>
        <w:jc w:val="left"/>
        <w:rPr>
          <w:rFonts w:ascii="arial" w:hAnsi="arial"/>
          <w:sz w:val="20"/>
        </w:rPr>
      </w:pPr>
      <w:r>
        <w:rPr>
          <w:rFonts w:ascii="arial" w:hAnsi="arial"/>
          <w:sz w:val="20"/>
        </w:rPr>
        <w:t xml:space="preserve">The following table sets forth information regarding the compensation earned by or paid to our non-employee directors during fiscal year ended December 31, 2025 to each of our non-employee directors who served on our board of directors during 2025. Yuling Luo, Ph.D., our Chief Executive Officer and Chairman, and Shiping “Steve” Chen, Ph.D., our Chief Operating Officer, are employees, executive officers and members of our board of directors and do not receive any additional compensation for their service on the board of directors. The compensation earned by or paid to Dr. Luo and Dr. Chen as named executive officers for the fiscal year ended December 31, 2025 is set forth above under the subsection titled “—Summary compensation table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82"/>
        <w:gridCol w:w="608"/>
        <w:gridCol w:w="232"/>
        <w:gridCol w:w="1004"/>
        <w:gridCol w:w="60"/>
        <w:gridCol w:w="608"/>
        <w:gridCol w:w="158"/>
        <w:gridCol w:w="687"/>
        <w:gridCol w:w="60"/>
        <w:gridCol w:w="685"/>
        <w:gridCol w:w="105"/>
        <w:gridCol w:w="455"/>
        <w:gridCol w:w="61"/>
      </w:tblGrid>
      <w:tr>
        <w:trPr/>
        <w:tc>
          <w:tcPr>
            <w:tcW w:w="5482" w:type="dxa"/>
            <w:tcBorders/>
            <w:vAlign w:val="center"/>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482" w:type="dxa"/>
            <w:tcBorders>
              <w:top w:val="single" w:sz="16" w:space="0" w:color="000000"/>
            </w:tcBorders>
            <w:tcMar>
              <w:top w:w="28" w:type="dxa"/>
            </w:tcMar>
            <w:vAlign w:val="center"/>
          </w:tcPr>
          <w:p>
            <w:pPr>
              <w:pStyle w:val="TableContents"/>
              <w:bidi w:val="0"/>
              <w:spacing w:before="0" w:after="283"/>
              <w:jc w:val="left"/>
              <w:rPr/>
            </w:pPr>
            <w:r>
              <w:rPr/>
              <w:t> </w:t>
            </w:r>
          </w:p>
        </w:tc>
        <w:tc>
          <w:tcPr>
            <w:tcW w:w="190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13"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0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482"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60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Fees earned</w:t>
              <w:br/>
              <w:t>or paid in</w:t>
              <w:br/>
              <w:t>cash($)</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8" w:type="dxa"/>
            <w:tcBorders>
              <w:bottom w:val="single" w:sz="2" w:space="0" w:color="000000"/>
            </w:tcBorders>
            <w:tcMar>
              <w:bottom w:w="28" w:type="dxa"/>
            </w:tcMar>
            <w:vAlign w:val="bottom"/>
          </w:tcPr>
          <w:p>
            <w:pPr>
              <w:pStyle w:val="TableContents"/>
              <w:bidi w:val="0"/>
              <w:spacing w:before="0" w:after="283"/>
              <w:jc w:val="left"/>
              <w:rPr/>
            </w:pPr>
            <w:r>
              <w:rPr/>
              <w:t>  </w:t>
            </w:r>
          </w:p>
        </w:tc>
        <w:tc>
          <w:tcPr>
            <w:tcW w:w="845"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w:t>
              <w:br/>
              <w:t>awards($)(1)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5" w:type="dxa"/>
            <w:tcBorders>
              <w:bottom w:val="single" w:sz="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arial" w:hAnsi="arial"/>
                <w:sz w:val="20"/>
              </w:rPr>
            </w:pPr>
            <w:r>
              <w:rPr>
                <w:rFonts w:ascii="arial" w:hAnsi="arial"/>
                <w:sz w:val="20"/>
              </w:rPr>
              <w:t>Daqing Cai, Ph.D.(2)</w:t>
            </w:r>
          </w:p>
        </w:tc>
        <w:tc>
          <w:tcPr>
            <w:tcW w:w="60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arial" w:hAnsi="arial"/>
                <w:sz w:val="20"/>
              </w:rPr>
            </w:pPr>
            <w:r>
              <w:rPr>
                <w:rFonts w:ascii="arial" w:hAnsi="arial"/>
                <w:sz w:val="20"/>
              </w:rPr>
              <w:t>William Hu(2)</w:t>
            </w:r>
          </w:p>
        </w:tc>
        <w:tc>
          <w:tcPr>
            <w:tcW w:w="60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arial" w:hAnsi="arial"/>
                <w:sz w:val="20"/>
              </w:rPr>
            </w:pPr>
            <w:r>
              <w:rPr>
                <w:rFonts w:ascii="arial" w:hAnsi="arial"/>
                <w:sz w:val="20"/>
              </w:rPr>
              <w:t>Nicholas Naclerio, Ph.D.</w:t>
            </w:r>
          </w:p>
        </w:tc>
        <w:tc>
          <w:tcPr>
            <w:tcW w:w="60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arial" w:hAnsi="arial"/>
                <w:sz w:val="20"/>
              </w:rPr>
            </w:pPr>
            <w:r>
              <w:rPr>
                <w:rFonts w:ascii="arial" w:hAnsi="arial"/>
                <w:sz w:val="20"/>
              </w:rPr>
              <w:t>Ian W. Ratcliffe</w:t>
            </w:r>
          </w:p>
        </w:tc>
        <w:tc>
          <w:tcPr>
            <w:tcW w:w="60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10144" w:type="dxa"/>
            <w:gridSpan w:val="12"/>
            <w:tcBorders/>
          </w:tcPr>
          <w:p>
            <w:pPr>
              <w:pStyle w:val="TableContents"/>
              <w:pBdr>
                <w:bottom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105"/>
        <w:gridCol w:w="9883"/>
      </w:tblGrid>
      <w:tr>
        <w:trPr/>
        <w:tc>
          <w:tcPr>
            <w:tcW w:w="217"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3" w:type="dxa"/>
            <w:tcBorders/>
          </w:tcPr>
          <w:p>
            <w:pPr>
              <w:pStyle w:val="TableContents"/>
              <w:bidi w:val="0"/>
              <w:spacing w:before="0" w:after="283"/>
              <w:jc w:val="left"/>
              <w:rPr/>
            </w:pPr>
            <w:r>
              <w:rPr/>
              <w:t xml:space="preserve">As of December 31, 2025, none of our non-employee directors who served on our board of directors during 2025 held any outstanding options to purchase shares of our common stock or any other unvested stock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Mr. Hu resigned from our board of directors in January 2026. Dr. Cai resigned from our board of directors in March 2026. </w:t>
            </w:r>
          </w:p>
        </w:tc>
      </w:tr>
    </w:tbl>
    <w:p>
      <w:pPr>
        <w:pStyle w:val="TextBody"/>
        <w:bidi w:val="0"/>
        <w:spacing w:before="160" w:after="0"/>
        <w:jc w:val="left"/>
        <w:rPr>
          <w:rFonts w:ascii="arial" w:hAnsi="arial"/>
          <w:sz w:val="20"/>
        </w:rPr>
      </w:pPr>
      <w:r>
        <w:rPr>
          <w:rFonts w:ascii="arial" w:hAnsi="arial"/>
          <w:sz w:val="20"/>
        </w:rPr>
        <w:t xml:space="preserve">We reimburse all of our non-employee directors for their reasonable out-of-pocket expenses incurred in attending board of directors and committee meetings. </w:t>
      </w:r>
    </w:p>
    <w:p>
      <w:pPr>
        <w:pStyle w:val="TextBody"/>
        <w:bidi w:val="0"/>
        <w:spacing w:before="160" w:after="0"/>
        <w:jc w:val="left"/>
        <w:rPr>
          <w:rFonts w:ascii="arial" w:hAnsi="arial"/>
          <w:sz w:val="20"/>
        </w:rPr>
      </w:pPr>
      <w:r>
        <w:rPr>
          <w:rFonts w:ascii="arial" w:hAnsi="arial"/>
          <w:sz w:val="20"/>
        </w:rPr>
        <w:t xml:space="preserve">Ms. Chambers joined our board of directors in January 2026. In connection with Ms. Chambers’ commencement of service as a member of our board of directors, she is entitled to an annual cash retainer of $50,000, as well as an option grant to purchase 140,612 shares of our Class B common stock. One-fourth of the total shares subject to this option will vest one year after the vesting commencement date, and thereafter 1/36th of the shares subject to this option will vest on each monthly anniversary thereof, subject to Ms. Chambers’ continuous service through each such date. In the event of a Change in Control (as defined in the 2018 Plan), 100% of the then unvested shares subject to this option will vest immediately prior to the consummation of the Change in Control. </w:t>
      </w:r>
    </w:p>
    <w:p>
      <w:pPr>
        <w:pStyle w:val="TextBody"/>
        <w:bidi w:val="0"/>
        <w:spacing w:before="160" w:after="0"/>
        <w:jc w:val="left"/>
        <w:rPr>
          <w:rFonts w:ascii="arial" w:hAnsi="arial"/>
          <w:sz w:val="20"/>
        </w:rPr>
      </w:pPr>
      <w:r>
        <w:rPr>
          <w:rFonts w:ascii="arial" w:hAnsi="arial"/>
          <w:sz w:val="20"/>
        </w:rPr>
        <w:t xml:space="preserve">Dr. Witney joined our board of directors in January 2026. In connection with Mr. Witney’s commencement of service as a member of our board of directors, he is entitled to an annual cash retainer of $50,000, as well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 option grant to purchase 124,069 shares of our Class B common stock. One-fourth of the total shares subject to this option will vest one year after the vesting commencement date, and thereafter 1/36th of the shares subject to this option will vest on each monthly anniversary thereof, subject to Mr. Witney’s continuous service through each such date. In the event of a Change in Control (as defined in the 2018 Plan), 100% of the then unvested shares subject to this option will vest immediately prior to the consummation of the Change in Control. </w:t>
      </w:r>
    </w:p>
    <w:p>
      <w:pPr>
        <w:pStyle w:val="TextBody"/>
        <w:bidi w:val="0"/>
        <w:spacing w:before="320" w:after="0"/>
        <w:jc w:val="left"/>
        <w:rPr>
          <w:rFonts w:ascii="arial" w:hAnsi="arial"/>
          <w:b/>
          <w:i/>
          <w:sz w:val="20"/>
        </w:rPr>
      </w:pPr>
      <w:r>
        <w:rPr>
          <w:rFonts w:ascii="arial" w:hAnsi="arial"/>
          <w:b/>
          <w:i/>
          <w:sz w:val="20"/>
        </w:rPr>
        <w:t xml:space="preserve">Non-employee director compensation policy </w:t>
      </w:r>
    </w:p>
    <w:p>
      <w:pPr>
        <w:pStyle w:val="TextBody"/>
        <w:bidi w:val="0"/>
        <w:spacing w:before="160" w:after="0"/>
        <w:jc w:val="left"/>
        <w:rPr>
          <w:rFonts w:ascii="arial" w:hAnsi="arial"/>
          <w:sz w:val="20"/>
        </w:rPr>
      </w:pPr>
      <w:r>
        <w:rPr>
          <w:rFonts w:ascii="arial" w:hAnsi="arial"/>
          <w:sz w:val="20"/>
        </w:rPr>
        <w:t xml:space="preserve">In connection with the initial public offering of our common stock, our board of directors adopted a non-employee director compensation policy. Under the non-employee director policy, our directors who are not also serving as employees of or consultants to us will be eligible to receive the compensation summarized below for service on our board of directors and committees of our board of directors: </w:t>
      </w:r>
    </w:p>
    <w:p>
      <w:pPr>
        <w:pStyle w:val="TextBody"/>
        <w:bidi w:val="0"/>
        <w:spacing w:before="160" w:after="0"/>
        <w:jc w:val="left"/>
        <w:rPr>
          <w:rFonts w:ascii="arial" w:hAnsi="arial"/>
          <w:sz w:val="20"/>
        </w:rPr>
      </w:pPr>
      <w:r>
        <w:rPr>
          <w:rFonts w:ascii="arial" w:hAnsi="arial"/>
          <w:i/>
          <w:sz w:val="20"/>
        </w:rPr>
        <w:t>Cash compensation</w:t>
      </w:r>
      <w:r>
        <w:rPr>
          <w:rFonts w:ascii="arial" w:hAnsi="arial"/>
          <w:sz w:val="20"/>
        </w:rPr>
        <w:t xml:space="preserve">. Under this policy, we will pay each of our non-employee directors cash retainers for service on our board of directors and committees of our board of directors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46"/>
        <w:gridCol w:w="500"/>
        <w:gridCol w:w="233"/>
        <w:gridCol w:w="1163"/>
        <w:gridCol w:w="63"/>
      </w:tblGrid>
      <w:tr>
        <w:trPr/>
        <w:tc>
          <w:tcPr>
            <w:tcW w:w="8246"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246" w:type="dxa"/>
            <w:tcBorders>
              <w:top w:val="single" w:sz="16" w:space="0" w:color="000000"/>
            </w:tcBorders>
            <w:tcMar>
              <w:top w:w="28" w:type="dxa"/>
            </w:tcMar>
            <w:vAlign w:val="center"/>
          </w:tcPr>
          <w:p>
            <w:pPr>
              <w:pStyle w:val="TableContents"/>
              <w:bidi w:val="0"/>
              <w:spacing w:before="0" w:after="283"/>
              <w:jc w:val="left"/>
              <w:rPr/>
            </w:pPr>
            <w:r>
              <w:rPr/>
              <w:t> </w:t>
            </w:r>
          </w:p>
        </w:tc>
        <w:tc>
          <w:tcPr>
            <w:tcW w:w="195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246" w:type="dxa"/>
            <w:tcBorders>
              <w:bottom w:val="single" w:sz="2" w:space="0" w:color="000000"/>
            </w:tcBorders>
            <w:tcMar>
              <w:bottom w:w="28" w:type="dxa"/>
            </w:tcMar>
            <w:vAlign w:val="bottom"/>
          </w:tcPr>
          <w:p>
            <w:pPr>
              <w:pStyle w:val="TableContents"/>
              <w:bidi w:val="0"/>
              <w:spacing w:before="0" w:after="283"/>
              <w:jc w:val="left"/>
              <w:rPr/>
            </w:pPr>
            <w:r>
              <w:rPr/>
              <w:t>  </w:t>
            </w:r>
          </w:p>
        </w:tc>
        <w:tc>
          <w:tcPr>
            <w:tcW w:w="500" w:type="dxa"/>
            <w:tcBorders>
              <w:bottom w:val="single" w:sz="2" w:space="0" w:color="000000"/>
            </w:tcBorders>
            <w:tcMar>
              <w:bottom w:w="28" w:type="dxa"/>
            </w:tcMar>
            <w:vAlign w:val="bottom"/>
          </w:tcPr>
          <w:p>
            <w:pPr>
              <w:pStyle w:val="TableContents"/>
              <w:bidi w:val="0"/>
              <w:spacing w:before="0" w:after="283"/>
              <w:jc w:val="left"/>
              <w:rPr/>
            </w:pPr>
            <w:r>
              <w:rPr/>
              <w:t>  </w:t>
            </w:r>
          </w:p>
        </w:tc>
        <w:tc>
          <w:tcPr>
            <w:tcW w:w="139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Annual Cash</w:t>
              <w:br/>
              <w:t>Retainer</w:t>
              <w:b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246" w:type="dxa"/>
            <w:tcBorders/>
            <w:shd w:fill="CCEEFF" w:val="clear"/>
          </w:tcPr>
          <w:p>
            <w:pPr>
              <w:pStyle w:val="TableContents"/>
              <w:bidi w:val="0"/>
              <w:spacing w:before="0" w:after="0"/>
              <w:jc w:val="left"/>
              <w:rPr>
                <w:rFonts w:ascii="arial" w:hAnsi="arial"/>
                <w:sz w:val="20"/>
              </w:rPr>
            </w:pPr>
            <w:r>
              <w:rPr>
                <w:rFonts w:ascii="arial" w:hAnsi="arial"/>
                <w:sz w:val="20"/>
              </w:rPr>
              <w:t>Annual retainer</w:t>
            </w:r>
          </w:p>
        </w:tc>
        <w:tc>
          <w:tcPr>
            <w:tcW w:w="50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8246" w:type="dxa"/>
            <w:tcBorders/>
          </w:tcPr>
          <w:p>
            <w:pPr>
              <w:pStyle w:val="TableContents"/>
              <w:bidi w:val="0"/>
              <w:spacing w:before="0" w:after="0"/>
              <w:jc w:val="left"/>
              <w:rPr>
                <w:rFonts w:ascii="arial" w:hAnsi="arial"/>
                <w:sz w:val="20"/>
              </w:rPr>
            </w:pPr>
            <w:r>
              <w:rPr>
                <w:rFonts w:ascii="arial" w:hAnsi="arial"/>
                <w:sz w:val="20"/>
              </w:rPr>
              <w:t>Additional retainer for non-executive chair</w:t>
            </w:r>
          </w:p>
        </w:tc>
        <w:tc>
          <w:tcPr>
            <w:tcW w:w="50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45,000</w:t>
            </w:r>
          </w:p>
        </w:tc>
        <w:tc>
          <w:tcPr>
            <w:tcW w:w="63" w:type="dxa"/>
            <w:tcBorders/>
            <w:vAlign w:val="bottom"/>
          </w:tcPr>
          <w:p>
            <w:pPr>
              <w:pStyle w:val="TableContents"/>
              <w:bidi w:val="0"/>
              <w:spacing w:before="0" w:after="283"/>
              <w:jc w:val="left"/>
              <w:rPr/>
            </w:pPr>
            <w:r>
              <w:rPr/>
              <w:t> </w:t>
            </w:r>
          </w:p>
        </w:tc>
      </w:tr>
      <w:tr>
        <w:trPr/>
        <w:tc>
          <w:tcPr>
            <w:tcW w:w="8246" w:type="dxa"/>
            <w:tcBorders/>
            <w:shd w:fill="CCEEFF" w:val="clear"/>
          </w:tcPr>
          <w:p>
            <w:pPr>
              <w:pStyle w:val="TableContents"/>
              <w:bidi w:val="0"/>
              <w:spacing w:before="0" w:after="0"/>
              <w:jc w:val="left"/>
              <w:rPr>
                <w:rFonts w:ascii="arial" w:hAnsi="arial"/>
                <w:sz w:val="20"/>
              </w:rPr>
            </w:pPr>
            <w:r>
              <w:rPr>
                <w:rFonts w:ascii="arial" w:hAnsi="arial"/>
                <w:sz w:val="20"/>
              </w:rPr>
              <w:t>Additional retainer for lead independent director</w:t>
            </w:r>
          </w:p>
        </w:tc>
        <w:tc>
          <w:tcPr>
            <w:tcW w:w="50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35,000</w:t>
            </w:r>
          </w:p>
        </w:tc>
        <w:tc>
          <w:tcPr>
            <w:tcW w:w="63" w:type="dxa"/>
            <w:tcBorders/>
            <w:shd w:fill="CCEEFF" w:val="clear"/>
            <w:vAlign w:val="bottom"/>
          </w:tcPr>
          <w:p>
            <w:pPr>
              <w:pStyle w:val="TableContents"/>
              <w:bidi w:val="0"/>
              <w:spacing w:before="0" w:after="283"/>
              <w:jc w:val="left"/>
              <w:rPr/>
            </w:pPr>
            <w:r>
              <w:rPr/>
              <w:t> </w:t>
            </w:r>
          </w:p>
        </w:tc>
      </w:tr>
      <w:tr>
        <w:trPr/>
        <w:tc>
          <w:tcPr>
            <w:tcW w:w="8246" w:type="dxa"/>
            <w:tcBorders/>
          </w:tcPr>
          <w:p>
            <w:pPr>
              <w:pStyle w:val="TableContents"/>
              <w:bidi w:val="0"/>
              <w:spacing w:before="0" w:after="0"/>
              <w:jc w:val="left"/>
              <w:rPr>
                <w:rFonts w:ascii="arial" w:hAnsi="arial"/>
                <w:sz w:val="20"/>
              </w:rPr>
            </w:pPr>
            <w:r>
              <w:rPr>
                <w:rFonts w:ascii="arial" w:hAnsi="arial"/>
                <w:sz w:val="20"/>
              </w:rPr>
              <w:t>Additional retainer for audit committee chair</w:t>
            </w:r>
          </w:p>
        </w:tc>
        <w:tc>
          <w:tcPr>
            <w:tcW w:w="50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20,000</w:t>
            </w:r>
          </w:p>
        </w:tc>
        <w:tc>
          <w:tcPr>
            <w:tcW w:w="63" w:type="dxa"/>
            <w:tcBorders/>
            <w:vAlign w:val="bottom"/>
          </w:tcPr>
          <w:p>
            <w:pPr>
              <w:pStyle w:val="TableContents"/>
              <w:bidi w:val="0"/>
              <w:spacing w:before="0" w:after="283"/>
              <w:jc w:val="left"/>
              <w:rPr/>
            </w:pPr>
            <w:r>
              <w:rPr/>
              <w:t> </w:t>
            </w:r>
          </w:p>
        </w:tc>
      </w:tr>
      <w:tr>
        <w:trPr/>
        <w:tc>
          <w:tcPr>
            <w:tcW w:w="8246" w:type="dxa"/>
            <w:tcBorders/>
            <w:shd w:fill="CCEEFF" w:val="clear"/>
          </w:tcPr>
          <w:p>
            <w:pPr>
              <w:pStyle w:val="TableContents"/>
              <w:bidi w:val="0"/>
              <w:spacing w:before="0" w:after="0"/>
              <w:jc w:val="left"/>
              <w:rPr>
                <w:rFonts w:ascii="arial" w:hAnsi="arial"/>
                <w:sz w:val="20"/>
              </w:rPr>
            </w:pPr>
            <w:r>
              <w:rPr>
                <w:rFonts w:ascii="arial" w:hAnsi="arial"/>
                <w:sz w:val="20"/>
              </w:rPr>
              <w:t>Additional retainer for audit committee non-chair member</w:t>
            </w:r>
          </w:p>
        </w:tc>
        <w:tc>
          <w:tcPr>
            <w:tcW w:w="50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10,000</w:t>
            </w:r>
          </w:p>
        </w:tc>
        <w:tc>
          <w:tcPr>
            <w:tcW w:w="63" w:type="dxa"/>
            <w:tcBorders/>
            <w:shd w:fill="CCEEFF" w:val="clear"/>
            <w:vAlign w:val="bottom"/>
          </w:tcPr>
          <w:p>
            <w:pPr>
              <w:pStyle w:val="TableContents"/>
              <w:bidi w:val="0"/>
              <w:spacing w:before="0" w:after="283"/>
              <w:jc w:val="left"/>
              <w:rPr/>
            </w:pPr>
            <w:r>
              <w:rPr/>
              <w:t> </w:t>
            </w:r>
          </w:p>
        </w:tc>
      </w:tr>
      <w:tr>
        <w:trPr/>
        <w:tc>
          <w:tcPr>
            <w:tcW w:w="8246" w:type="dxa"/>
            <w:tcBorders/>
          </w:tcPr>
          <w:p>
            <w:pPr>
              <w:pStyle w:val="TableContents"/>
              <w:bidi w:val="0"/>
              <w:spacing w:before="0" w:after="0"/>
              <w:jc w:val="left"/>
              <w:rPr>
                <w:rFonts w:ascii="arial" w:hAnsi="arial"/>
                <w:sz w:val="20"/>
              </w:rPr>
            </w:pPr>
            <w:r>
              <w:rPr>
                <w:rFonts w:ascii="arial" w:hAnsi="arial"/>
                <w:sz w:val="20"/>
              </w:rPr>
              <w:t>Additional retainer for compensation committee chair</w:t>
            </w:r>
          </w:p>
        </w:tc>
        <w:tc>
          <w:tcPr>
            <w:tcW w:w="50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20,000</w:t>
            </w:r>
          </w:p>
        </w:tc>
        <w:tc>
          <w:tcPr>
            <w:tcW w:w="63" w:type="dxa"/>
            <w:tcBorders/>
            <w:vAlign w:val="bottom"/>
          </w:tcPr>
          <w:p>
            <w:pPr>
              <w:pStyle w:val="TableContents"/>
              <w:bidi w:val="0"/>
              <w:spacing w:before="0" w:after="283"/>
              <w:jc w:val="left"/>
              <w:rPr/>
            </w:pPr>
            <w:r>
              <w:rPr/>
              <w:t> </w:t>
            </w:r>
          </w:p>
        </w:tc>
      </w:tr>
      <w:tr>
        <w:trPr/>
        <w:tc>
          <w:tcPr>
            <w:tcW w:w="8246" w:type="dxa"/>
            <w:tcBorders/>
            <w:shd w:fill="CCEEFF" w:val="clear"/>
          </w:tcPr>
          <w:p>
            <w:pPr>
              <w:pStyle w:val="TableContents"/>
              <w:bidi w:val="0"/>
              <w:spacing w:before="0" w:after="0"/>
              <w:jc w:val="left"/>
              <w:rPr>
                <w:rFonts w:ascii="arial" w:hAnsi="arial"/>
                <w:sz w:val="20"/>
              </w:rPr>
            </w:pPr>
            <w:r>
              <w:rPr>
                <w:rFonts w:ascii="arial" w:hAnsi="arial"/>
                <w:sz w:val="20"/>
              </w:rPr>
              <w:t>Additional retainer for compensation committee non-chair member</w:t>
            </w:r>
          </w:p>
        </w:tc>
        <w:tc>
          <w:tcPr>
            <w:tcW w:w="50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7,500</w:t>
            </w:r>
          </w:p>
        </w:tc>
        <w:tc>
          <w:tcPr>
            <w:tcW w:w="63" w:type="dxa"/>
            <w:tcBorders/>
            <w:shd w:fill="CCEEFF" w:val="clear"/>
            <w:vAlign w:val="bottom"/>
          </w:tcPr>
          <w:p>
            <w:pPr>
              <w:pStyle w:val="TableContents"/>
              <w:bidi w:val="0"/>
              <w:spacing w:before="0" w:after="283"/>
              <w:jc w:val="left"/>
              <w:rPr/>
            </w:pPr>
            <w:r>
              <w:rPr/>
              <w:t> </w:t>
            </w:r>
          </w:p>
        </w:tc>
      </w:tr>
      <w:tr>
        <w:trPr/>
        <w:tc>
          <w:tcPr>
            <w:tcW w:w="8246" w:type="dxa"/>
            <w:tcBorders/>
          </w:tcPr>
          <w:p>
            <w:pPr>
              <w:pStyle w:val="TableContents"/>
              <w:bidi w:val="0"/>
              <w:spacing w:before="0" w:after="0"/>
              <w:jc w:val="left"/>
              <w:rPr>
                <w:rFonts w:ascii="arial" w:hAnsi="arial"/>
                <w:sz w:val="20"/>
              </w:rPr>
            </w:pPr>
            <w:r>
              <w:rPr>
                <w:rFonts w:ascii="arial" w:hAnsi="arial"/>
                <w:sz w:val="20"/>
              </w:rPr>
              <w:t>Additional retainer for nominating and governance committee chair</w:t>
            </w:r>
          </w:p>
        </w:tc>
        <w:tc>
          <w:tcPr>
            <w:tcW w:w="50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20,000</w:t>
            </w:r>
          </w:p>
        </w:tc>
        <w:tc>
          <w:tcPr>
            <w:tcW w:w="63" w:type="dxa"/>
            <w:tcBorders/>
            <w:vAlign w:val="bottom"/>
          </w:tcPr>
          <w:p>
            <w:pPr>
              <w:pStyle w:val="TableContents"/>
              <w:bidi w:val="0"/>
              <w:spacing w:before="0" w:after="283"/>
              <w:jc w:val="left"/>
              <w:rPr/>
            </w:pPr>
            <w:r>
              <w:rPr/>
              <w:t> </w:t>
            </w:r>
          </w:p>
        </w:tc>
      </w:tr>
      <w:tr>
        <w:trPr/>
        <w:tc>
          <w:tcPr>
            <w:tcW w:w="8246" w:type="dxa"/>
            <w:tcBorders>
              <w:bottom w:val="single" w:sz="2" w:space="0" w:color="000000"/>
            </w:tcBorders>
            <w:shd w:fill="CCEEFF" w:val="clear"/>
            <w:tcMar>
              <w:bottom w:w="60" w:type="dxa"/>
            </w:tcMar>
          </w:tcPr>
          <w:p>
            <w:pPr>
              <w:pStyle w:val="TableContents"/>
              <w:bidi w:val="0"/>
              <w:spacing w:before="0" w:after="0"/>
              <w:jc w:val="left"/>
              <w:rPr>
                <w:rFonts w:ascii="arial" w:hAnsi="arial"/>
                <w:sz w:val="20"/>
              </w:rPr>
            </w:pPr>
            <w:r>
              <w:rPr>
                <w:rFonts w:ascii="arial" w:hAnsi="arial"/>
                <w:sz w:val="20"/>
              </w:rPr>
              <w:t>Additional retainer for nominating and governance committee non-chair member</w:t>
            </w:r>
          </w:p>
        </w:tc>
        <w:tc>
          <w:tcPr>
            <w:tcW w:w="5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33" w:type="dxa"/>
            <w:tcBorders>
              <w:bottom w:val="single" w:sz="2" w:space="0" w:color="000000"/>
            </w:tcBorders>
            <w:shd w:fill="CCEEFF" w:val="clear"/>
            <w:tcMar>
              <w:bottom w:w="60" w:type="dxa"/>
            </w:tcMar>
            <w:vAlign w:val="bottom"/>
          </w:tcPr>
          <w:p>
            <w:pPr>
              <w:pStyle w:val="TableContents"/>
              <w:bidi w:val="0"/>
              <w:spacing w:before="0" w:after="283"/>
              <w:jc w:val="left"/>
              <w:rPr/>
            </w:pPr>
            <w:r>
              <w:rPr/>
              <w:t>$</w:t>
            </w:r>
          </w:p>
        </w:tc>
        <w:tc>
          <w:tcPr>
            <w:tcW w:w="1163" w:type="dxa"/>
            <w:tcBorders>
              <w:bottom w:val="single" w:sz="2" w:space="0" w:color="000000"/>
            </w:tcBorders>
            <w:shd w:fill="CCEEFF" w:val="clear"/>
            <w:tcMar>
              <w:bottom w:w="60" w:type="dxa"/>
            </w:tcMar>
            <w:vAlign w:val="bottom"/>
          </w:tcPr>
          <w:p>
            <w:pPr>
              <w:pStyle w:val="TableContents"/>
              <w:bidi w:val="0"/>
              <w:spacing w:before="0" w:after="283"/>
              <w:jc w:val="right"/>
              <w:rPr/>
            </w:pPr>
            <w:r>
              <w:rPr/>
              <w:t>5,000</w:t>
            </w:r>
          </w:p>
        </w:tc>
        <w:tc>
          <w:tcPr>
            <w:tcW w:w="63"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We will also reimburse each non-employee director for ordinary, necessary and reasonable out-of-pocket travel expenses actually incurred by such director in connection with in-person attendance at and participation in meetings of our board of directors and committees of our board of directors. </w:t>
      </w:r>
    </w:p>
    <w:p>
      <w:pPr>
        <w:pStyle w:val="TextBody"/>
        <w:bidi w:val="0"/>
        <w:spacing w:before="160" w:after="0"/>
        <w:jc w:val="left"/>
        <w:rPr>
          <w:rFonts w:ascii="arial" w:hAnsi="arial"/>
          <w:sz w:val="20"/>
        </w:rPr>
      </w:pPr>
      <w:r>
        <w:rPr>
          <w:rFonts w:ascii="arial" w:hAnsi="arial"/>
          <w:i/>
          <w:sz w:val="20"/>
        </w:rPr>
        <w:t>Equity compensation</w:t>
      </w:r>
      <w:r>
        <w:rPr>
          <w:rFonts w:ascii="arial" w:hAnsi="arial"/>
          <w:sz w:val="20"/>
        </w:rPr>
        <w:t xml:space="preserve">. In addition to cash compensation, each non-employee director will be eligible to receive options and restricted stock unit awards under our 2026 Plan. All options granted under the policy will be nonstatutory stock options, with an exercise price per share equal to 100% of the fair market value of the underlying shares on the date of grant and a term of ten years from the date of grant, subject to earlier termination in connection with a termination of continuous service (as defined in the 2026 Plan) or a corporate transaction (as defined in the 2026 Plan). Vesting schedules for equity awards will be subject to the non-employee director’s continuous service with us on each applicable vesting date, provided that each such equity award will vest in full immediately prior to a change in control (as defined in the 2026 Plan), subject to the applicable non-employee director’s continuous service with us through the date of such change in control. </w:t>
      </w:r>
    </w:p>
    <w:p>
      <w:pPr>
        <w:pStyle w:val="TextBody"/>
        <w:bidi w:val="0"/>
        <w:spacing w:before="160" w:after="0"/>
        <w:jc w:val="left"/>
        <w:rPr>
          <w:rFonts w:ascii="arial" w:hAnsi="arial"/>
          <w:sz w:val="20"/>
        </w:rPr>
      </w:pPr>
      <w:r>
        <w:rPr>
          <w:rFonts w:ascii="arial" w:hAnsi="arial"/>
          <w:i/>
          <w:sz w:val="20"/>
        </w:rPr>
        <w:t>Initial grants.</w:t>
      </w:r>
      <w:r>
        <w:rPr>
          <w:rFonts w:ascii="arial" w:hAnsi="arial"/>
          <w:sz w:val="20"/>
        </w:rPr>
        <w:t xml:space="preserve"> Each new non-employee director elected or appointed to our board of directors after the effective date of the policy will automatically be granted an initial, one-time stock option covering 25,599 shares and a restricted stock unit award covering 5,686 shares. One-third of the shares subject to the initial option grant will vest on the first anniversary of the grant date, with the remainder vesting in equal monthly installments thereafter until the third anniversary of the grant date. The shares subject to the initial restricted stock unit award grant will vest in equal annual installments over a three-year period such that the restricted stock unit award is fully vested on the third anniversary of the grant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Annual grants.</w:t>
      </w:r>
      <w:r>
        <w:rPr>
          <w:rFonts w:ascii="arial" w:hAnsi="arial"/>
          <w:sz w:val="20"/>
        </w:rPr>
        <w:t xml:space="preserve"> On the date of each annual meeting of our stockholders held after the effective date of the policy, commencing with the 2027 annual meeting of stockholders, each non-employee director that continues to serve on our board of directors will automatically be granted a stock option covering 16,004 shares and a restricted stock unit award covering 3,556 shares. The annual option grant and the annual restricted stock unit award grant will vest on the one-year anniversary of the date of grant, provided that the each such annual grant will in any case be fully vested on the date of the our next annual stockholder meeting (or the date immediately prior to our next annual stockholder meeting if the applicable non-employee director’s service as a director ends at such meeting due to the non-employee director’s failure to be re-elected or the non-employee director not standing for re-election). </w:t>
      </w:r>
    </w:p>
    <w:p>
      <w:pPr>
        <w:pStyle w:val="TextBody"/>
        <w:bidi w:val="0"/>
        <w:spacing w:before="160" w:after="0"/>
        <w:jc w:val="left"/>
        <w:rPr>
          <w:rFonts w:ascii="arial" w:hAnsi="arial"/>
          <w:sz w:val="20"/>
        </w:rPr>
      </w:pPr>
      <w:r>
        <w:rPr>
          <w:rFonts w:ascii="arial" w:hAnsi="arial"/>
          <w:i/>
          <w:sz w:val="20"/>
        </w:rPr>
        <w:t>IPO grants.</w:t>
      </w:r>
      <w:r>
        <w:rPr>
          <w:rFonts w:ascii="arial" w:hAnsi="arial"/>
          <w:sz w:val="20"/>
        </w:rPr>
        <w:t xml:space="preserve"> On the effective date of the policy, each non-employee director who has not previously received an equity award from us will be granted a stock option and a restricted stock unit award covering the same number of shares and with the same vesting terms (including vesting acceleration provisions) as the initial option grant and the initial restricted stock unit award grant described above. Additionally, each other non-employee director who, as of the effective date of the policy, has served as a member of our board of directors for more than 6 months will be granted a stock option and a restricted stock unit award covering the same number of shares and with the same vesting terms (including vesting acceleration provisions) as the annual option grant and the annual restricted stock unit award grant described above. </w:t>
      </w:r>
    </w:p>
    <w:p>
      <w:pPr>
        <w:pStyle w:val="TextBody"/>
        <w:bidi w:val="0"/>
        <w:spacing w:before="160" w:after="0"/>
        <w:jc w:val="left"/>
        <w:rPr>
          <w:rFonts w:ascii="arial" w:hAnsi="arial"/>
          <w:sz w:val="20"/>
        </w:rPr>
      </w:pPr>
      <w:r>
        <w:rPr>
          <w:rFonts w:ascii="arial" w:hAnsi="arial"/>
          <w:i/>
          <w:sz w:val="20"/>
        </w:rPr>
        <w:t>Non-employee director compensation limit</w:t>
      </w:r>
      <w:r>
        <w:rPr>
          <w:rFonts w:ascii="arial" w:hAnsi="arial"/>
          <w:sz w:val="20"/>
        </w:rPr>
        <w:t xml:space="preserve">. The cash and equity compensation that each non-employee director is eligible to receive under the policy will be subject to the non-employee director compensation limits set forth in the 2026 Plan. </w:t>
      </w:r>
    </w:p>
    <w:p>
      <w:pPr>
        <w:pStyle w:val="TextBody"/>
        <w:bidi w:val="0"/>
        <w:spacing w:before="320" w:after="0"/>
        <w:jc w:val="left"/>
        <w:rPr>
          <w:rFonts w:ascii="arial" w:hAnsi="arial"/>
          <w:b/>
          <w:sz w:val="24"/>
        </w:rPr>
      </w:pPr>
      <w:r>
        <w:rPr>
          <w:rFonts w:ascii="arial" w:hAnsi="arial"/>
          <w:b/>
          <w:sz w:val="24"/>
        </w:rPr>
        <w:t xml:space="preserve">Limitation of Liability and Indemnification </w:t>
      </w:r>
    </w:p>
    <w:p>
      <w:pPr>
        <w:pStyle w:val="TextBody"/>
        <w:bidi w:val="0"/>
        <w:spacing w:before="160" w:after="0"/>
        <w:jc w:val="left"/>
        <w:rPr>
          <w:rFonts w:ascii="arial" w:hAnsi="arial"/>
          <w:sz w:val="20"/>
        </w:rPr>
      </w:pPr>
      <w:r>
        <w:rPr>
          <w:rFonts w:ascii="arial" w:hAnsi="arial"/>
          <w:sz w:val="20"/>
        </w:rPr>
        <w:t xml:space="preserve">Our amended and restated certificate of incorporation that will become effective immediately prior to the closing of this offering limits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as a director,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as an officer, derivative claims brought on behalf of the corporation by a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transaction from which the director or officer derived an improper personal benefit. </w:t>
            </w:r>
          </w:p>
        </w:tc>
      </w:tr>
    </w:tbl>
    <w:p>
      <w:pPr>
        <w:pStyle w:val="TextBody"/>
        <w:bidi w:val="0"/>
        <w:spacing w:before="160" w:after="0"/>
        <w:jc w:val="left"/>
        <w:rPr>
          <w:rFonts w:ascii="arial" w:hAnsi="arial"/>
          <w:sz w:val="20"/>
        </w:rPr>
      </w:pPr>
      <w:r>
        <w:rPr>
          <w:rFonts w:ascii="arial" w:hAnsi="arial"/>
          <w:sz w:val="20"/>
        </w:rPr>
        <w:t xml:space="preserve">This limitation of liability does not apply to liabilities arising under federal securities laws and does not affect the availability of equitable remedies such as injunctive relief or recission.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160" w:after="0"/>
        <w:jc w:val="left"/>
        <w:rPr>
          <w:rFonts w:ascii="arial" w:hAnsi="arial"/>
          <w:sz w:val="20"/>
        </w:rPr>
      </w:pPr>
      <w:r>
        <w:rPr>
          <w:rFonts w:ascii="arial" w:hAnsi="arial"/>
          <w:sz w:val="20"/>
        </w:rPr>
        <w:t xml:space="preserve">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160" w:after="0"/>
        <w:jc w:val="left"/>
        <w:rPr>
          <w:rFonts w:ascii="arial" w:hAnsi="arial"/>
          <w:sz w:val="20"/>
        </w:rPr>
      </w:pPr>
      <w:r>
        <w:rPr>
          <w:rFonts w:ascii="arial" w:hAnsi="arial"/>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160" w:after="0"/>
        <w:jc w:val="left"/>
        <w:rPr>
          <w:rFonts w:ascii="arial" w:hAnsi="arial"/>
          <w:sz w:val="20"/>
        </w:rPr>
      </w:pPr>
      <w:r>
        <w:rPr>
          <w:rFonts w:ascii="arial" w:hAnsi="arial"/>
          <w:sz w:val="20"/>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160" w:after="0"/>
        <w:jc w:val="left"/>
        <w:rPr>
          <w:rFonts w:ascii="arial" w:hAnsi="arial"/>
          <w:sz w:val="20"/>
        </w:rPr>
      </w:pPr>
      <w:r>
        <w:rPr>
          <w:rFonts w:ascii="arial" w:hAnsi="arial"/>
          <w:sz w:val="20"/>
        </w:rPr>
        <w:t xml:space="preserve">At present, there is no pending litigation or proceeding involving any of our directors, executive officers or employees for which indemnification is sought and we are not aware of any threatened litigation that may result in claims for indemnification. </w:t>
      </w:r>
    </w:p>
    <w:p>
      <w:pPr>
        <w:pStyle w:val="TextBody"/>
        <w:bidi w:val="0"/>
        <w:spacing w:before="320" w:after="0"/>
        <w:jc w:val="left"/>
        <w:rPr>
          <w:rFonts w:ascii="arial" w:hAnsi="arial"/>
          <w:b/>
          <w:sz w:val="24"/>
        </w:rPr>
      </w:pPr>
      <w:r>
        <w:rPr>
          <w:rFonts w:ascii="arial" w:hAnsi="arial"/>
          <w:b/>
          <w:sz w:val="24"/>
        </w:rPr>
        <w:t xml:space="preserve">Rule 10b5-1 Sales Plans </w:t>
      </w:r>
    </w:p>
    <w:p>
      <w:pPr>
        <w:pStyle w:val="TextBody"/>
        <w:bidi w:val="0"/>
        <w:spacing w:before="160" w:after="0"/>
        <w:jc w:val="left"/>
        <w:rPr>
          <w:rFonts w:ascii="arial" w:hAnsi="arial"/>
          <w:sz w:val="20"/>
        </w:rPr>
      </w:pPr>
      <w:r>
        <w:rPr>
          <w:rFonts w:ascii="arial" w:hAnsi="arial"/>
          <w:sz w:val="20"/>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and any applicable 10b5-1 guidelines.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8" w:name="toc39680_13"/>
      <w:bookmarkEnd w:id="18"/>
      <w:r>
        <w:rPr>
          <w:rFonts w:ascii="arial" w:hAnsi="arial"/>
          <w:b/>
          <w:sz w:val="32"/>
        </w:rPr>
        <w:t xml:space="preserve">Certain relationships and related person transactions </w:t>
      </w:r>
    </w:p>
    <w:p>
      <w:pPr>
        <w:pStyle w:val="TextBody"/>
        <w:bidi w:val="0"/>
        <w:spacing w:before="160" w:after="0"/>
        <w:jc w:val="left"/>
        <w:rPr>
          <w:rFonts w:ascii="arial" w:hAnsi="arial"/>
          <w:sz w:val="20"/>
        </w:rPr>
      </w:pPr>
      <w:r>
        <w:rPr>
          <w:rFonts w:ascii="arial" w:hAnsi="arial"/>
          <w:sz w:val="20"/>
        </w:rPr>
        <w:t xml:space="preserve">The following includes a summary of transactions since January 1, 2023, to which we have been a party, in which the amount involved in the transaction exceeded the lesser of $120,000 or 1% of the average of our total assets as of December 31, 2023 and 2024, and in which any of our directors, executive officers or, to our knowledge, beneficial owners of more than 5% of our capital stock at the time of such transaction, or any member of the immediate family of any of the foregoing persons had or will have a direct or indirect material interest, other than equity and other compensation, termination, change in control and other arrangements, which are described in the sections titled “Executive and director compensation” and “Executive and director compensation—Non-employee director compensation.” </w:t>
      </w:r>
    </w:p>
    <w:p>
      <w:pPr>
        <w:pStyle w:val="TextBody"/>
        <w:bidi w:val="0"/>
        <w:spacing w:before="320" w:after="0"/>
        <w:jc w:val="left"/>
        <w:rPr>
          <w:rFonts w:ascii="arial" w:hAnsi="arial"/>
          <w:b/>
          <w:sz w:val="24"/>
        </w:rPr>
      </w:pPr>
      <w:r>
        <w:rPr>
          <w:rFonts w:ascii="arial" w:hAnsi="arial"/>
          <w:b/>
          <w:sz w:val="24"/>
        </w:rPr>
        <w:t xml:space="preserve">2026 convertible promissory notes financing </w:t>
      </w:r>
    </w:p>
    <w:p>
      <w:pPr>
        <w:pStyle w:val="TextBody"/>
        <w:bidi w:val="0"/>
        <w:spacing w:before="160" w:after="0"/>
        <w:jc w:val="left"/>
        <w:rPr>
          <w:rFonts w:ascii="arial" w:hAnsi="arial"/>
          <w:sz w:val="20"/>
        </w:rPr>
      </w:pPr>
      <w:r>
        <w:rPr>
          <w:rFonts w:ascii="arial" w:hAnsi="arial"/>
          <w:sz w:val="20"/>
        </w:rPr>
        <w:t xml:space="preserve">On January 8, 2026, we issued unsecured convertible loan notes to certain investors in an aggregate principal amount of $56.5 million. The Convertible Notes mature 18 months from the initial issuance of the notes, if not earlier converted, and, after July 31, 2026, will accrue simple interest on a daily basis at 8% per annum. Upon the closing of this offering, the Convertible Notes and any accrued but unpaid interest will automatically convert into shares of our common stock at a price per share equal to 85% of the lowest price per share for common stock sold in this offering. Based on the initial public offering price of $17.00 per share, the Convertible Notes will automatically convert into an aggregate of 3,910,025 shares of our common stock upon the closing of this offering without interest. </w:t>
      </w:r>
    </w:p>
    <w:p>
      <w:pPr>
        <w:pStyle w:val="TextBody"/>
        <w:bidi w:val="0"/>
        <w:spacing w:before="160" w:after="0"/>
        <w:jc w:val="left"/>
        <w:rPr>
          <w:rFonts w:ascii="arial" w:hAnsi="arial"/>
          <w:sz w:val="20"/>
        </w:rPr>
      </w:pPr>
      <w:r>
        <w:rPr>
          <w:rFonts w:ascii="arial" w:hAnsi="arial"/>
          <w:sz w:val="20"/>
        </w:rPr>
        <w:t xml:space="preserve">The following table summarizes the Convertible Notes purchased by holders of more than 5% of our capital stock and entities affiliated with our executive officers and members of our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6"/>
        <w:gridCol w:w="714"/>
        <w:gridCol w:w="80"/>
        <w:gridCol w:w="1752"/>
        <w:gridCol w:w="63"/>
      </w:tblGrid>
      <w:tr>
        <w:trPr/>
        <w:tc>
          <w:tcPr>
            <w:tcW w:w="7596" w:type="dxa"/>
            <w:tcBorders/>
            <w:vAlign w:val="center"/>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596" w:type="dxa"/>
            <w:tcBorders>
              <w:top w:val="single" w:sz="16" w:space="0" w:color="000000"/>
            </w:tcBorders>
            <w:tcMar>
              <w:top w:w="28" w:type="dxa"/>
            </w:tcMar>
            <w:vAlign w:val="center"/>
          </w:tcPr>
          <w:p>
            <w:pPr>
              <w:pStyle w:val="TableContents"/>
              <w:bidi w:val="0"/>
              <w:spacing w:before="0" w:after="283"/>
              <w:jc w:val="left"/>
              <w:rPr/>
            </w:pPr>
            <w:r>
              <w:rPr/>
              <w:t> </w:t>
            </w:r>
          </w:p>
        </w:tc>
        <w:tc>
          <w:tcPr>
            <w:tcW w:w="260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596" w:type="dxa"/>
            <w:tcBorders>
              <w:bottom w:val="single" w:sz="2" w:space="0" w:color="000000"/>
            </w:tcBorders>
            <w:tcMar>
              <w:bottom w:w="28" w:type="dxa"/>
            </w:tcMar>
            <w:vAlign w:val="bottom"/>
          </w:tcPr>
          <w:p>
            <w:pPr>
              <w:pStyle w:val="TableContents"/>
              <w:bidi w:val="0"/>
              <w:spacing w:before="0" w:after="283"/>
              <w:jc w:val="left"/>
              <w:rPr>
                <w:b/>
              </w:rPr>
            </w:pPr>
            <w:r>
              <w:rPr>
                <w:b/>
              </w:rPr>
              <w:t>Participants(1)</w:t>
            </w:r>
          </w:p>
        </w:tc>
        <w:tc>
          <w:tcPr>
            <w:tcW w:w="714" w:type="dxa"/>
            <w:tcBorders>
              <w:bottom w:val="single" w:sz="2" w:space="0" w:color="000000"/>
            </w:tcBorders>
            <w:tcMar>
              <w:bottom w:w="28" w:type="dxa"/>
            </w:tcMar>
            <w:vAlign w:val="bottom"/>
          </w:tcPr>
          <w:p>
            <w:pPr>
              <w:pStyle w:val="TableContents"/>
              <w:bidi w:val="0"/>
              <w:spacing w:before="0" w:after="283"/>
              <w:jc w:val="left"/>
              <w:rPr/>
            </w:pPr>
            <w:r>
              <w:rPr/>
              <w:t>    </w:t>
            </w:r>
          </w:p>
        </w:tc>
        <w:tc>
          <w:tcPr>
            <w:tcW w:w="1832" w:type="dxa"/>
            <w:gridSpan w:val="2"/>
            <w:tcBorders>
              <w:bottom w:val="single" w:sz="2" w:space="0" w:color="000000"/>
            </w:tcBorders>
            <w:tcMar>
              <w:bottom w:w="28" w:type="dxa"/>
            </w:tcMar>
            <w:vAlign w:val="bottom"/>
          </w:tcPr>
          <w:p>
            <w:pPr>
              <w:pStyle w:val="TableContents"/>
              <w:bidi w:val="0"/>
              <w:spacing w:before="0" w:after="283"/>
              <w:jc w:val="left"/>
              <w:rPr>
                <w:b/>
              </w:rPr>
            </w:pPr>
            <w:r>
              <w:rPr>
                <w:b/>
              </w:rPr>
              <w:t>Principal amount($)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arial" w:hAnsi="arial"/>
                <w:sz w:val="20"/>
              </w:rPr>
            </w:pPr>
            <w:r>
              <w:rPr>
                <w:rFonts w:ascii="arial" w:hAnsi="arial"/>
                <w:sz w:val="20"/>
              </w:rPr>
              <w:t>Illumina Innovation Fund II, L.P.(2)</w:t>
            </w:r>
          </w:p>
        </w:tc>
        <w:tc>
          <w:tcPr>
            <w:tcW w:w="714" w:type="dxa"/>
            <w:tcBorders/>
            <w:shd w:fill="CCEEFF" w:val="clear"/>
            <w:vAlign w:val="bottom"/>
          </w:tcPr>
          <w:p>
            <w:pPr>
              <w:pStyle w:val="TableContents"/>
              <w:bidi w:val="0"/>
              <w:spacing w:before="0" w:after="283"/>
              <w:jc w:val="left"/>
              <w:rPr/>
            </w:pPr>
            <w:r>
              <w:rPr/>
              <w:t>    </w:t>
            </w:r>
          </w:p>
        </w:tc>
        <w:tc>
          <w:tcPr>
            <w:tcW w:w="80" w:type="dxa"/>
            <w:tcBorders/>
            <w:shd w:fill="CCEEFF" w:val="clear"/>
          </w:tcPr>
          <w:p>
            <w:pPr>
              <w:pStyle w:val="TableContents"/>
              <w:bidi w:val="0"/>
              <w:spacing w:before="0" w:after="283"/>
              <w:jc w:val="left"/>
              <w:rPr/>
            </w:pPr>
            <w:r>
              <w:rPr/>
              <w:t> </w:t>
            </w:r>
          </w:p>
        </w:tc>
        <w:tc>
          <w:tcPr>
            <w:tcW w:w="1752" w:type="dxa"/>
            <w:tcBorders/>
            <w:shd w:fill="CCEEFF" w:val="clear"/>
          </w:tcPr>
          <w:p>
            <w:pPr>
              <w:pStyle w:val="TableContents"/>
              <w:bidi w:val="0"/>
              <w:spacing w:before="0" w:after="283"/>
              <w:jc w:val="right"/>
              <w:rPr/>
            </w:pPr>
            <w:r>
              <w:rPr/>
              <w:t>8,927,259.98</w:t>
            </w:r>
          </w:p>
        </w:tc>
        <w:tc>
          <w:tcPr>
            <w:tcW w:w="63" w:type="dxa"/>
            <w:tcBorders/>
            <w:shd w:fill="CCEEFF" w:val="clear"/>
          </w:tcPr>
          <w:p>
            <w:pPr>
              <w:pStyle w:val="TableContents"/>
              <w:bidi w:val="0"/>
              <w:spacing w:before="0" w:after="283"/>
              <w:jc w:val="left"/>
              <w:rPr/>
            </w:pPr>
            <w:r>
              <w:rPr/>
              <w:t> </w:t>
            </w:r>
          </w:p>
        </w:tc>
      </w:tr>
      <w:tr>
        <w:trPr/>
        <w:tc>
          <w:tcPr>
            <w:tcW w:w="7596"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Sands Capital Life Sciences Pulse Fund II, L.P.(3)</w:t>
            </w:r>
          </w:p>
        </w:tc>
        <w:tc>
          <w:tcPr>
            <w:tcW w:w="714"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28" w:type="dxa"/>
            </w:tcMar>
          </w:tcPr>
          <w:p>
            <w:pPr>
              <w:pStyle w:val="TableContents"/>
              <w:bidi w:val="0"/>
              <w:spacing w:before="0" w:after="283"/>
              <w:jc w:val="left"/>
              <w:rPr/>
            </w:pPr>
            <w:r>
              <w:rPr/>
              <w:t> </w:t>
            </w:r>
          </w:p>
        </w:tc>
        <w:tc>
          <w:tcPr>
            <w:tcW w:w="1752" w:type="dxa"/>
            <w:tcBorders>
              <w:bottom w:val="single" w:sz="2" w:space="0" w:color="000000"/>
            </w:tcBorders>
            <w:tcMar>
              <w:bottom w:w="28" w:type="dxa"/>
            </w:tcMar>
          </w:tcPr>
          <w:p>
            <w:pPr>
              <w:pStyle w:val="TableContents"/>
              <w:bidi w:val="0"/>
              <w:spacing w:before="0" w:after="283"/>
              <w:jc w:val="right"/>
              <w:rPr/>
            </w:pPr>
            <w:r>
              <w:rPr/>
              <w:t>6,625,455.38</w:t>
            </w:r>
          </w:p>
        </w:tc>
        <w:tc>
          <w:tcPr>
            <w:tcW w:w="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Additional details regarding these stockholders and their equity holdings are included in this prospectus under the section titled “Principal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Nicholas Naclerio, Ph.D., a member of our board of directors, is Founding Partner of Illumina Ventures, a holder of greater than 5%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(3)</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Ian Ratcliffe, a member of our board of directors, is Managing Partner of Sands Capital, a holder of greater than 5% of our capital stock. </w:t>
            </w:r>
          </w:p>
        </w:tc>
      </w:tr>
    </w:tbl>
    <w:p>
      <w:pPr>
        <w:pStyle w:val="TextBody"/>
        <w:bidi w:val="0"/>
        <w:spacing w:before="320" w:after="0"/>
        <w:jc w:val="left"/>
        <w:rPr>
          <w:rFonts w:ascii="arial" w:hAnsi="arial"/>
          <w:b/>
          <w:sz w:val="24"/>
        </w:rPr>
      </w:pPr>
      <w:r>
        <w:rPr>
          <w:rFonts w:ascii="arial" w:hAnsi="arial"/>
          <w:b/>
          <w:sz w:val="24"/>
        </w:rPr>
        <w:t xml:space="preserve">Series C convertible preferred stock financing </w:t>
      </w:r>
    </w:p>
    <w:p>
      <w:pPr>
        <w:pStyle w:val="TextBody"/>
        <w:bidi w:val="0"/>
        <w:spacing w:before="160" w:after="0"/>
        <w:jc w:val="left"/>
        <w:rPr>
          <w:rFonts w:ascii="arial" w:hAnsi="arial"/>
          <w:sz w:val="20"/>
        </w:rPr>
      </w:pPr>
      <w:r>
        <w:rPr>
          <w:rFonts w:ascii="arial" w:hAnsi="arial"/>
          <w:sz w:val="20"/>
        </w:rPr>
        <w:t xml:space="preserve">In February 2024, we issued and sold an aggregate of 43,004,188 shares of our Series C convertible preferred stock, at a purchase price of $2.9775 per share for aggregate proceeds of approximately $128.0 million. </w:t>
      </w:r>
    </w:p>
    <w:p>
      <w:pPr>
        <w:pStyle w:val="TextBody"/>
        <w:bidi w:val="0"/>
        <w:spacing w:before="160" w:after="0"/>
        <w:jc w:val="left"/>
        <w:rPr>
          <w:rFonts w:ascii="arial" w:hAnsi="arial"/>
          <w:sz w:val="20"/>
        </w:rPr>
      </w:pPr>
      <w:r>
        <w:rPr>
          <w:rFonts w:ascii="arial" w:hAnsi="arial"/>
          <w:sz w:val="20"/>
        </w:rPr>
        <w:t xml:space="preserve">The following table summarizes the Series C convertible preferred stock purchased by holders of more than 5% of our capital stock and entities affiliated with our executive officers and members of our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9"/>
        <w:gridCol w:w="815"/>
        <w:gridCol w:w="151"/>
        <w:gridCol w:w="2516"/>
        <w:gridCol w:w="60"/>
        <w:gridCol w:w="815"/>
        <w:gridCol w:w="83"/>
        <w:gridCol w:w="1953"/>
        <w:gridCol w:w="63"/>
      </w:tblGrid>
      <w:tr>
        <w:trPr/>
        <w:tc>
          <w:tcPr>
            <w:tcW w:w="3749" w:type="dxa"/>
            <w:tcBorders/>
            <w:vAlign w:val="center"/>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49" w:type="dxa"/>
            <w:tcBorders>
              <w:bottom w:val="single" w:sz="2" w:space="0" w:color="000000"/>
            </w:tcBorders>
            <w:tcMar>
              <w:bottom w:w="28" w:type="dxa"/>
            </w:tcMar>
            <w:vAlign w:val="bottom"/>
          </w:tcPr>
          <w:p>
            <w:pPr>
              <w:pStyle w:val="TableContents"/>
              <w:bidi w:val="0"/>
              <w:spacing w:before="0" w:after="283"/>
              <w:jc w:val="left"/>
              <w:rPr>
                <w:b/>
              </w:rPr>
            </w:pPr>
            <w:r>
              <w:rPr>
                <w:b/>
              </w:rPr>
              <w:t>Participants(1)</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2667"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Shares of Series C convertible</w:t>
              <w:br/>
              <w:t>preferred stock purchased</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20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 proceeds</w:t>
              <w:b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Qiming Venture Partners(2)</w:t>
            </w:r>
          </w:p>
        </w:tc>
        <w:tc>
          <w:tcPr>
            <w:tcW w:w="81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516" w:type="dxa"/>
            <w:tcBorders/>
            <w:shd w:fill="CCEEFF" w:val="clear"/>
            <w:vAlign w:val="bottom"/>
          </w:tcPr>
          <w:p>
            <w:pPr>
              <w:pStyle w:val="TableContents"/>
              <w:bidi w:val="0"/>
              <w:spacing w:before="0" w:after="283"/>
              <w:jc w:val="right"/>
              <w:rPr/>
            </w:pPr>
            <w:r>
              <w:rPr/>
              <w:t>8,530,645</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25,399,995.50</w:t>
            </w:r>
          </w:p>
        </w:tc>
        <w:tc>
          <w:tcPr>
            <w:tcW w:w="63" w:type="dxa"/>
            <w:tcBorders/>
            <w:shd w:fill="CCEEFF" w:val="clear"/>
            <w:vAlign w:val="bottom"/>
          </w:tcPr>
          <w:p>
            <w:pPr>
              <w:pStyle w:val="TableContents"/>
              <w:bidi w:val="0"/>
              <w:spacing w:before="0" w:after="283"/>
              <w:jc w:val="left"/>
              <w:rPr/>
            </w:pPr>
            <w:r>
              <w:rPr/>
              <w:t> </w:t>
            </w:r>
          </w:p>
        </w:tc>
      </w:tr>
      <w:tr>
        <w:trPr/>
        <w:tc>
          <w:tcPr>
            <w:tcW w:w="3749" w:type="dxa"/>
            <w:tcBorders/>
          </w:tcPr>
          <w:p>
            <w:pPr>
              <w:pStyle w:val="TableContents"/>
              <w:bidi w:val="0"/>
              <w:spacing w:before="0" w:after="0"/>
              <w:jc w:val="left"/>
              <w:rPr>
                <w:rFonts w:ascii="arial" w:hAnsi="arial"/>
                <w:sz w:val="20"/>
              </w:rPr>
            </w:pPr>
            <w:r>
              <w:rPr>
                <w:rFonts w:ascii="arial" w:hAnsi="arial"/>
                <w:sz w:val="20"/>
              </w:rPr>
              <w:t>Entities affiliated with Sherpa Healthcare Partners(3)</w:t>
            </w:r>
          </w:p>
        </w:tc>
        <w:tc>
          <w:tcPr>
            <w:tcW w:w="81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516" w:type="dxa"/>
            <w:tcBorders/>
            <w:vAlign w:val="bottom"/>
          </w:tcPr>
          <w:p>
            <w:pPr>
              <w:pStyle w:val="TableContents"/>
              <w:bidi w:val="0"/>
              <w:spacing w:before="0" w:after="283"/>
              <w:jc w:val="right"/>
              <w:rPr/>
            </w:pPr>
            <w:r>
              <w:rPr/>
              <w:t>5,037,782</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14,999,995.91</w:t>
            </w:r>
          </w:p>
        </w:tc>
        <w:tc>
          <w:tcPr>
            <w:tcW w:w="63" w:type="dxa"/>
            <w:tcBorders/>
            <w:vAlign w:val="bottom"/>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20"/>
              <w:jc w:val="left"/>
              <w:rPr>
                <w:rFonts w:ascii="arial" w:hAnsi="arial"/>
                <w:sz w:val="20"/>
              </w:rPr>
            </w:pPr>
            <w:r>
              <w:rPr>
                <w:rFonts w:ascii="arial" w:hAnsi="arial"/>
                <w:sz w:val="20"/>
              </w:rPr>
              <w:t>Illumina Innovation Fund II, L.P.(4)</w:t>
            </w:r>
          </w:p>
        </w:tc>
        <w:tc>
          <w:tcPr>
            <w:tcW w:w="81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516" w:type="dxa"/>
            <w:tcBorders/>
            <w:shd w:fill="CCEEFF" w:val="clear"/>
            <w:vAlign w:val="bottom"/>
          </w:tcPr>
          <w:p>
            <w:pPr>
              <w:pStyle w:val="TableContents"/>
              <w:bidi w:val="0"/>
              <w:spacing w:before="0" w:after="283"/>
              <w:jc w:val="right"/>
              <w:rPr/>
            </w:pPr>
            <w:r>
              <w:rPr/>
              <w:t>5,037,783</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14,999,998.89</w:t>
            </w:r>
          </w:p>
        </w:tc>
        <w:tc>
          <w:tcPr>
            <w:tcW w:w="63" w:type="dxa"/>
            <w:tcBorders/>
            <w:shd w:fill="CCEEFF" w:val="clear"/>
            <w:vAlign w:val="bottom"/>
          </w:tcPr>
          <w:p>
            <w:pPr>
              <w:pStyle w:val="TableContents"/>
              <w:bidi w:val="0"/>
              <w:spacing w:before="0" w:after="283"/>
              <w:jc w:val="left"/>
              <w:rPr/>
            </w:pPr>
            <w:r>
              <w:rPr/>
              <w:t> </w:t>
            </w:r>
          </w:p>
        </w:tc>
      </w:tr>
      <w:tr>
        <w:trPr/>
        <w:tc>
          <w:tcPr>
            <w:tcW w:w="3749" w:type="dxa"/>
            <w:tcBorders>
              <w:bottom w:val="single" w:sz="2" w:space="0" w:color="000000"/>
            </w:tcBorders>
            <w:tcMar>
              <w:bottom w:w="28" w:type="dxa"/>
            </w:tcMar>
          </w:tcPr>
          <w:p>
            <w:pPr>
              <w:pStyle w:val="TableContents"/>
              <w:bidi w:val="0"/>
              <w:spacing w:before="0" w:after="20"/>
              <w:jc w:val="left"/>
              <w:rPr>
                <w:rFonts w:ascii="arial" w:hAnsi="arial"/>
                <w:sz w:val="20"/>
              </w:rPr>
            </w:pPr>
            <w:r>
              <w:rPr>
                <w:rFonts w:ascii="arial" w:hAnsi="arial"/>
                <w:sz w:val="20"/>
              </w:rPr>
              <w:t>Sands Capital Life Sciences Pulse Fund II, L.P.(5)</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151" w:type="dxa"/>
            <w:tcBorders>
              <w:bottom w:val="single" w:sz="2" w:space="0" w:color="000000"/>
            </w:tcBorders>
            <w:tcMar>
              <w:bottom w:w="28" w:type="dxa"/>
            </w:tcMar>
          </w:tcPr>
          <w:p>
            <w:pPr>
              <w:pStyle w:val="TableContents"/>
              <w:bidi w:val="0"/>
              <w:spacing w:before="0" w:after="283"/>
              <w:jc w:val="left"/>
              <w:rPr/>
            </w:pPr>
            <w:r>
              <w:rPr/>
              <w:t> </w:t>
            </w:r>
          </w:p>
        </w:tc>
        <w:tc>
          <w:tcPr>
            <w:tcW w:w="2516" w:type="dxa"/>
            <w:tcBorders>
              <w:bottom w:val="single" w:sz="2" w:space="0" w:color="000000"/>
            </w:tcBorders>
            <w:tcMar>
              <w:bottom w:w="28" w:type="dxa"/>
            </w:tcMar>
          </w:tcPr>
          <w:p>
            <w:pPr>
              <w:pStyle w:val="TableContents"/>
              <w:bidi w:val="0"/>
              <w:spacing w:before="0" w:after="283"/>
              <w:jc w:val="right"/>
              <w:rPr/>
            </w:pPr>
            <w:r>
              <w:rPr/>
              <w:t>8,396,305</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83" w:type="dxa"/>
            <w:tcBorders>
              <w:bottom w:val="single" w:sz="2" w:space="0" w:color="000000"/>
            </w:tcBorders>
            <w:tcMar>
              <w:bottom w:w="28" w:type="dxa"/>
            </w:tcMar>
          </w:tcPr>
          <w:p>
            <w:pPr>
              <w:pStyle w:val="TableContents"/>
              <w:bidi w:val="0"/>
              <w:spacing w:before="0" w:after="283"/>
              <w:jc w:val="left"/>
              <w:rPr/>
            </w:pPr>
            <w:r>
              <w:rPr/>
              <w:t> </w:t>
            </w:r>
          </w:p>
        </w:tc>
        <w:tc>
          <w:tcPr>
            <w:tcW w:w="1953" w:type="dxa"/>
            <w:tcBorders>
              <w:bottom w:val="single" w:sz="2" w:space="0" w:color="000000"/>
            </w:tcBorders>
            <w:tcMar>
              <w:bottom w:w="28" w:type="dxa"/>
            </w:tcMar>
          </w:tcPr>
          <w:p>
            <w:pPr>
              <w:pStyle w:val="TableContents"/>
              <w:bidi w:val="0"/>
              <w:spacing w:before="0" w:after="283"/>
              <w:jc w:val="right"/>
              <w:rPr/>
            </w:pPr>
            <w:r>
              <w:rPr/>
              <w:t>24,999,998.14</w:t>
            </w:r>
          </w:p>
        </w:tc>
        <w:tc>
          <w:tcPr>
            <w:tcW w:w="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Additional details regarding these stockholders and their equity holdings are included in this prospectus under the section titled “Principal stockholders.”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
        <w:gridCol w:w="106"/>
        <w:gridCol w:w="9875"/>
      </w:tblGrid>
      <w:tr>
        <w:trPr/>
        <w:tc>
          <w:tcPr>
            <w:tcW w:w="224" w:type="dxa"/>
            <w:tcBorders/>
          </w:tcPr>
          <w:p>
            <w:pPr>
              <w:pStyle w:val="TableContents"/>
              <w:bidi w:val="0"/>
              <w:spacing w:before="0" w:after="283"/>
              <w:jc w:val="left"/>
              <w:rPr/>
            </w:pPr>
            <w:r>
              <w:rPr/>
              <w:t>(2)</w:t>
            </w:r>
          </w:p>
        </w:tc>
        <w:tc>
          <w:tcPr>
            <w:tcW w:w="106"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Consists of (i) $13,839,997.64 new cash investment by Qiming Venture Partners VIII-HC, L.P. and (ii) $11,559,997.86 new cash investment by Qiming Venture Partners VIII Investments, LLC. Entities affiliated with Qiming Venture Partners collectively beneficially own more than 5% of our outstanding capital stock. William Hu, a former member of our board of directors, is a Managing Partner of Qiming Venture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(i) $7,999,997.62 new cash investment by Sherpa Healthcare Fund II, L.P. and (ii) $6,999,998.29 new cash investment by Sherpa Healthcare Co-Investment Fund, L.P. Entities affiliated with Sherpa Healthcare Partners collectively beneficially own more than 5% of our outstanding capital stock. Daqing Cai, Ph.D., a former member of our board of directors, is a Managing Partner of Sherpa Healthcare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(4)</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Nicholas Naclerio, Ph.D., a member of our board of directors, is Founding Partner of Illumina Ventures, a holder of greater than 5%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(5)</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Ian Ratcliffe, a member of our board of directors, is Managing Partner of Sands Capital, a holder of greater than 5% of our capital stock. </w:t>
            </w:r>
          </w:p>
        </w:tc>
      </w:tr>
    </w:tbl>
    <w:p>
      <w:pPr>
        <w:pStyle w:val="TextBody"/>
        <w:bidi w:val="0"/>
        <w:spacing w:before="320" w:after="0"/>
        <w:jc w:val="left"/>
        <w:rPr>
          <w:rFonts w:ascii="arial" w:hAnsi="arial"/>
          <w:b/>
          <w:sz w:val="24"/>
        </w:rPr>
      </w:pPr>
      <w:r>
        <w:rPr>
          <w:rFonts w:ascii="arial" w:hAnsi="arial"/>
          <w:b/>
          <w:sz w:val="24"/>
        </w:rPr>
        <w:t xml:space="preserve">Agreements and transactions with Attovia </w:t>
      </w:r>
    </w:p>
    <w:p>
      <w:pPr>
        <w:pStyle w:val="TextBody"/>
        <w:bidi w:val="0"/>
        <w:spacing w:before="160" w:after="0"/>
        <w:jc w:val="left"/>
        <w:rPr>
          <w:rFonts w:ascii="arial" w:hAnsi="arial"/>
          <w:sz w:val="20"/>
        </w:rPr>
      </w:pPr>
      <w:r>
        <w:rPr>
          <w:rFonts w:ascii="arial" w:hAnsi="arial"/>
          <w:sz w:val="20"/>
        </w:rPr>
        <w:t xml:space="preserve">We are party to several agreements with Attovia Therapeutics, Inc. (“Attovia”). Dr. Luo, our Chairman and Chief Executive Officer, has been a director of Attovia since its inception in December 2022, when we established Attovia as a wholly-owned subsidiary and granted to it certain know-how and patents in exchange for 7,437,877 shares of Attovia’s common stock. </w:t>
      </w:r>
    </w:p>
    <w:p>
      <w:pPr>
        <w:pStyle w:val="TextBody"/>
        <w:bidi w:val="0"/>
        <w:spacing w:before="160" w:after="0"/>
        <w:jc w:val="left"/>
        <w:rPr>
          <w:rFonts w:ascii="arial" w:hAnsi="arial"/>
          <w:sz w:val="20"/>
        </w:rPr>
      </w:pPr>
      <w:r>
        <w:rPr>
          <w:rFonts w:ascii="arial" w:hAnsi="arial"/>
          <w:sz w:val="20"/>
        </w:rPr>
        <w:t xml:space="preserve">In June 2023, we also entered into an amended and restated platform license agreement (the “License Agreement”) with Attovia. Under the License Agreement, we granted Attovia a worldwide, non-transferable, sublicensable license to use an antibody engineering platform developed by or on behalf of us (the “Attobody Platform”) within the therapeutic field (the “Attovia License”). The Attovia License allows Attovia to identify new molecules or gene codes, research, develop, manufacture and commercialize new or existing molecules or gene codes identified using the Attobody platform (“Attovia Products”), and to develop improvements to the Attobody platform. The Attovia License is exclusive with respect to our patents and patent applications, and non-exclusive with respect to our know-how. In connection with the execution of the License Agreement, Attovia issued 22,562,123 shares of its common stock to us as consideration for the Attovia License. We are further entitled to payment of up to $4.25 million per Attovia Product in aggregate milestone payments upon the closing of certain clinical and regulatory milestones. The License Agreement also requires that Attovia pay us tiered royalties in low single digit percentages on net sales of Attovia Products, subject to certain deductions, provided that if no valid claim covers an Attovia Product in a country, then the royalty percentage applicable to net sales in such country shall be reduced to percentages also in the low single digits. As of December 31, 2025, we have received milestone payments totaling $500,000 from Attovia. </w:t>
      </w:r>
    </w:p>
    <w:p>
      <w:pPr>
        <w:pStyle w:val="TextBody"/>
        <w:bidi w:val="0"/>
        <w:spacing w:before="160" w:after="0"/>
        <w:jc w:val="left"/>
        <w:rPr>
          <w:rFonts w:ascii="arial" w:hAnsi="arial"/>
          <w:sz w:val="20"/>
        </w:rPr>
      </w:pPr>
      <w:r>
        <w:rPr>
          <w:rFonts w:ascii="arial" w:hAnsi="arial"/>
          <w:sz w:val="20"/>
        </w:rPr>
        <w:t xml:space="preserve">In June 2023, we also entered into an intercompany agreement with Attovia, pursuant to which we provide certain non-research-based, operational services and share the usage of certain equipment and software licenses for a professional service fee under a cost-plus method (the “Intercompany Agreement”). Under the terms of the Intercompany Agreement, Attovia has paid us an aggregate of approximately $151,000 as of December 31, 2025 under the Intercompany Agreement. </w:t>
      </w:r>
    </w:p>
    <w:p>
      <w:pPr>
        <w:pStyle w:val="TextBody"/>
        <w:bidi w:val="0"/>
        <w:spacing w:before="160" w:after="0"/>
        <w:jc w:val="left"/>
        <w:rPr>
          <w:rFonts w:ascii="arial" w:hAnsi="arial"/>
          <w:sz w:val="20"/>
        </w:rPr>
      </w:pPr>
      <w:r>
        <w:rPr>
          <w:rFonts w:ascii="arial" w:hAnsi="arial"/>
          <w:sz w:val="20"/>
        </w:rPr>
        <w:t xml:space="preserve">Finally, also in June 2023, we entered into a sublease agreement with Attovia (as amended, the “Sublease Agreement”), pursuant to which Attovia leased office and laboratory space in Fremont, California until March 2025. Attovia paid us approximately $1.9 million in aggregate under the Sublease Agreement for rent expense and certain rent-related charges such as common area maintenance charges and utilities. </w:t>
      </w:r>
    </w:p>
    <w:p>
      <w:pPr>
        <w:pStyle w:val="TextBody"/>
        <w:bidi w:val="0"/>
        <w:spacing w:before="160" w:after="0"/>
        <w:jc w:val="left"/>
        <w:rPr>
          <w:rFonts w:ascii="arial" w:hAnsi="arial"/>
          <w:sz w:val="20"/>
        </w:rPr>
      </w:pPr>
      <w:r>
        <w:rPr>
          <w:rFonts w:ascii="arial" w:hAnsi="arial"/>
          <w:sz w:val="20"/>
        </w:rPr>
        <w:t xml:space="preserve">In February 2024, we incorporated Alamar Holdco, LLC (“LLC”), a wholly-owned subsidiary, and contributed into it all owned shares of Attovia common stock in exchange for 49,339,922 Series A preferred units of LLC. On the same day, we also effected an in-kind dividend distribution of all such issued Series A preferred units of LLC to our holders of Series A-1, Series A-2, Series A-3, Series A-4, Series B and Series B-Plus convertible preferred stock on one-for-one basis. Promptly thereafter, LLC issued 25,923,346 common units to our holders of common stock and Founders Preferred Stock pro-rata to such holders’ share ownership, thereby transferring our equity investment in Attovia to LLC. Following the transfer to LLC, we do not own any shares of capital stock of Attovia.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Employment agreements and stock option grants to directors and executive officers </w:t>
      </w:r>
    </w:p>
    <w:p>
      <w:pPr>
        <w:pStyle w:val="TextBody"/>
        <w:bidi w:val="0"/>
        <w:spacing w:before="160" w:after="0"/>
        <w:jc w:val="left"/>
        <w:rPr>
          <w:rFonts w:ascii="arial" w:hAnsi="arial"/>
          <w:sz w:val="20"/>
        </w:rPr>
      </w:pPr>
      <w:r>
        <w:rPr>
          <w:rFonts w:ascii="arial" w:hAnsi="arial"/>
          <w:sz w:val="20"/>
        </w:rPr>
        <w:t xml:space="preserve">We have entered into employment agreements with certain of our named executive officers, and granted stock options to our named executive officers and certain of our directors, as more fully described in the section titled “Executive and director compensation.” </w:t>
      </w:r>
    </w:p>
    <w:p>
      <w:pPr>
        <w:pStyle w:val="TextBody"/>
        <w:bidi w:val="0"/>
        <w:spacing w:before="320" w:after="0"/>
        <w:jc w:val="left"/>
        <w:rPr>
          <w:rFonts w:ascii="arial" w:hAnsi="arial"/>
          <w:b/>
          <w:sz w:val="24"/>
        </w:rPr>
      </w:pPr>
      <w:r>
        <w:rPr>
          <w:rFonts w:ascii="arial" w:hAnsi="arial"/>
          <w:b/>
          <w:sz w:val="24"/>
        </w:rPr>
        <w:t xml:space="preserve">Investor rights, voting and right of first refusal agreements </w:t>
      </w:r>
    </w:p>
    <w:p>
      <w:pPr>
        <w:pStyle w:val="TextBody"/>
        <w:bidi w:val="0"/>
        <w:spacing w:before="160" w:after="0"/>
        <w:jc w:val="left"/>
        <w:rPr>
          <w:rFonts w:ascii="arial" w:hAnsi="arial"/>
          <w:sz w:val="20"/>
        </w:rPr>
      </w:pPr>
      <w:r>
        <w:rPr>
          <w:rFonts w:ascii="arial" w:hAnsi="arial"/>
          <w:sz w:val="20"/>
        </w:rPr>
        <w:t xml:space="preserve">In connection with our convertible preferred stock financings, we entered into investor rights and right of first refusal agreements, and in connection with our Convertible Notes financings, we entered into the Voting Agreement, which such agreements contain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Qiming Venture Partners, which are affiliated with our former director William Hu; entities affiliated with Sherpa Healthcare Partners, which are affiliated with Daqing Cai, Ph.D., a former member of our board of directors; Sands Capital Life Sciences Pulse Fund II, L.P., which is affiliated with our director Ian Ratcliffe; Illumina Innovation Fund II, L.P., which is affiliated with our director Nicholas Naclerio, Ph.D.; and Yuling Luo, Ph.D., our Chief Executive Officer and Chairman, each of which hold greater than 5% of our outstanding capital stock, as well as Shiping “Steve” Chen, Ph.D., our Chief Operating Officer and director. </w:t>
      </w:r>
    </w:p>
    <w:p>
      <w:pPr>
        <w:pStyle w:val="TextBody"/>
        <w:bidi w:val="0"/>
        <w:spacing w:before="160" w:after="0"/>
        <w:jc w:val="left"/>
        <w:rPr>
          <w:rFonts w:ascii="arial" w:hAnsi="arial"/>
          <w:sz w:val="20"/>
        </w:rPr>
      </w:pPr>
      <w:r>
        <w:rPr>
          <w:rFonts w:ascii="arial" w:hAnsi="arial"/>
          <w:sz w:val="20"/>
        </w:rPr>
        <w:t xml:space="preserve">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 </w:t>
      </w:r>
    </w:p>
    <w:p>
      <w:pPr>
        <w:pStyle w:val="TextBody"/>
        <w:bidi w:val="0"/>
        <w:spacing w:before="320" w:after="0"/>
        <w:jc w:val="left"/>
        <w:rPr>
          <w:rFonts w:ascii="arial" w:hAnsi="arial"/>
          <w:b/>
          <w:sz w:val="24"/>
        </w:rPr>
      </w:pPr>
      <w:r>
        <w:rPr>
          <w:rFonts w:ascii="arial" w:hAnsi="arial"/>
          <w:b/>
          <w:sz w:val="24"/>
        </w:rPr>
        <w:t xml:space="preserve">Limitations on liability and indemnification agreements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“Executive and director compensation—Limitations of liability and indemnification matters.” </w:t>
      </w:r>
    </w:p>
    <w:p>
      <w:pPr>
        <w:pStyle w:val="TextBody"/>
        <w:bidi w:val="0"/>
        <w:spacing w:before="320" w:after="0"/>
        <w:jc w:val="left"/>
        <w:rPr>
          <w:rFonts w:ascii="arial" w:hAnsi="arial"/>
          <w:b/>
          <w:sz w:val="24"/>
        </w:rPr>
      </w:pPr>
      <w:r>
        <w:rPr>
          <w:rFonts w:ascii="arial" w:hAnsi="arial"/>
          <w:b/>
          <w:sz w:val="24"/>
        </w:rPr>
        <w:t xml:space="preserve">Policies and procedures for transactions with related persons </w:t>
      </w:r>
    </w:p>
    <w:p>
      <w:pPr>
        <w:pStyle w:val="TextBody"/>
        <w:bidi w:val="0"/>
        <w:spacing w:before="160" w:after="0"/>
        <w:jc w:val="left"/>
        <w:rPr>
          <w:rFonts w:ascii="arial" w:hAnsi="arial"/>
          <w:sz w:val="20"/>
        </w:rPr>
      </w:pPr>
      <w:r>
        <w:rPr>
          <w:rFonts w:ascii="arial" w:hAnsi="arial"/>
          <w:sz w:val="20"/>
        </w:rPr>
        <w:t xml:space="preserve">Prior to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9" w:name="toc39680_14"/>
      <w:bookmarkEnd w:id="19"/>
      <w:r>
        <w:rPr>
          <w:rFonts w:ascii="arial" w:hAnsi="arial"/>
          <w:b/>
          <w:sz w:val="32"/>
        </w:rPr>
        <w:t xml:space="preserve">Principal stockholders </w:t>
      </w:r>
    </w:p>
    <w:p>
      <w:pPr>
        <w:pStyle w:val="TextBody"/>
        <w:bidi w:val="0"/>
        <w:spacing w:before="160" w:after="0"/>
        <w:jc w:val="left"/>
        <w:rPr>
          <w:rFonts w:ascii="arial" w:hAnsi="arial"/>
          <w:sz w:val="20"/>
        </w:rPr>
      </w:pPr>
      <w:r>
        <w:rPr>
          <w:rFonts w:ascii="arial" w:hAnsi="arial"/>
          <w:sz w:val="20"/>
        </w:rPr>
        <w:t xml:space="preserve">The following table sets forth information with respect to the beneficial ownership of our capital stock as of March 1, 2026, as adjusted to reflect the sale of our common stock offered by us in this offering, assuming no exercise of the underwriters’ option to purchase additional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all of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each person or group of affiliated persons known by us to beneficially own more than 5% of our common stock. </w:t>
            </w:r>
          </w:p>
        </w:tc>
      </w:tr>
    </w:tbl>
    <w:p>
      <w:pPr>
        <w:pStyle w:val="TextBody"/>
        <w:bidi w:val="0"/>
        <w:spacing w:before="160" w:after="0"/>
        <w:jc w:val="left"/>
        <w:rPr>
          <w:rFonts w:ascii="arial" w:hAnsi="arial"/>
          <w:sz w:val="20"/>
        </w:rPr>
      </w:pPr>
      <w:r>
        <w:rPr>
          <w:rFonts w:ascii="arial" w:hAnsi="arial"/>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60" w:after="0"/>
        <w:jc w:val="left"/>
        <w:rPr>
          <w:rFonts w:ascii="arial" w:hAnsi="arial"/>
          <w:sz w:val="20"/>
        </w:rPr>
      </w:pPr>
      <w:r>
        <w:rPr>
          <w:rFonts w:ascii="arial" w:hAnsi="arial"/>
          <w:sz w:val="20"/>
        </w:rPr>
        <w:t xml:space="preserve">Applicable percentage ownership before the offering is based on 55,913,276 shares of common stock (which include 317,382 shares of our common stock subject to repurchase as of such date) outstanding as of March 1, 2026, after giving effect to the Preferred Stock Conversion, the Founders Preferred Stock Conversion, the Class A Conversion, the Common Stock Redesignation and the Convertible Notes Conversion (as if each had occurred as of March 1, 2026), each of which will occur immediately prior to the closing of the offering. Applicable percentage ownership after the offering is based on 67,163,276 shares of our common stock outstanding immediately after the closing of this offering (assuming no exercise of the underwriters’ option to purchase additional shares), after giving effect to the Preferred Stock Conversion, the Founders Preferred Stock Conversion, the Class A Conversion, the Common Stock Redesignation and the Convertible Notes Conversion (as if each had occurred as of March 1, 2026), each of which will occur immediately prior to the closing of the offering. The percentage ownership information assumes no purchases of any shares of common stock by the beneficial owners identified in the table below. In computing the number of shares beneficially owned by a person and the percentage ownership of such person, we deemed to be outstanding all shares subject to options held by the person that are currently exercisable, or exercisable within 60 days of March 1, 2026. However, except as described above, we did not deem such shares outstanding for the purpose of computing the percentage ownership of any other person. </w:t>
      </w:r>
    </w:p>
    <w:p>
      <w:pPr>
        <w:pStyle w:val="TextBody"/>
        <w:bidi w:val="0"/>
        <w:spacing w:before="160" w:after="0"/>
        <w:jc w:val="left"/>
        <w:rPr>
          <w:rFonts w:ascii="arial" w:hAnsi="arial"/>
          <w:sz w:val="20"/>
        </w:rPr>
      </w:pPr>
      <w:r>
        <w:rPr>
          <w:rFonts w:ascii="arial" w:hAnsi="arial"/>
          <w:sz w:val="20"/>
        </w:rPr>
        <w:t xml:space="preserve">Unless otherwise indicated, the address for each beneficial owner listed in the table below is c/o Alamar Biosciences, Inc., 47071 Bayside Parkway, Fremont, California 94538.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59"/>
        <w:gridCol w:w="149"/>
        <w:gridCol w:w="60"/>
        <w:gridCol w:w="1240"/>
        <w:gridCol w:w="60"/>
        <w:gridCol w:w="149"/>
        <w:gridCol w:w="168"/>
        <w:gridCol w:w="1234"/>
        <w:gridCol w:w="60"/>
        <w:gridCol w:w="149"/>
        <w:gridCol w:w="60"/>
        <w:gridCol w:w="1240"/>
        <w:gridCol w:w="60"/>
        <w:gridCol w:w="148"/>
        <w:gridCol w:w="168"/>
        <w:gridCol w:w="1234"/>
        <w:gridCol w:w="67"/>
      </w:tblGrid>
      <w:tr>
        <w:trPr/>
        <w:tc>
          <w:tcPr>
            <w:tcW w:w="395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959" w:type="dxa"/>
            <w:tcBorders>
              <w:top w:val="single" w:sz="16" w:space="0" w:color="000000"/>
            </w:tcBorders>
            <w:tcMar>
              <w:top w:w="28" w:type="dxa"/>
            </w:tcMar>
            <w:vAlign w:val="center"/>
          </w:tcPr>
          <w:p>
            <w:pPr>
              <w:pStyle w:val="TableContents"/>
              <w:bidi w:val="0"/>
              <w:spacing w:before="0" w:after="283"/>
              <w:jc w:val="left"/>
              <w:rPr/>
            </w:pPr>
            <w:r>
              <w:rPr/>
              <w:t> </w:t>
            </w:r>
          </w:p>
        </w:tc>
        <w:tc>
          <w:tcPr>
            <w:tcW w:w="312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12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9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911"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prior</w:t>
              <w:br/>
              <w:t>to this offering</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910"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after</w:t>
              <w:br/>
              <w:t>this offering</w:t>
            </w:r>
          </w:p>
        </w:tc>
        <w:tc>
          <w:tcPr>
            <w:tcW w:w="67" w:type="dxa"/>
            <w:tcBorders/>
            <w:vAlign w:val="bottom"/>
          </w:tcPr>
          <w:p>
            <w:pPr>
              <w:pStyle w:val="TableContents"/>
              <w:bidi w:val="0"/>
              <w:spacing w:before="0" w:after="283"/>
              <w:jc w:val="left"/>
              <w:rPr/>
            </w:pPr>
            <w:r>
              <w:rPr/>
              <w:t> </w:t>
            </w:r>
          </w:p>
        </w:tc>
      </w:tr>
      <w:tr>
        <w:trPr/>
        <w:tc>
          <w:tcPr>
            <w:tcW w:w="3959" w:type="dxa"/>
            <w:tcBorders>
              <w:bottom w:val="single" w:sz="2" w:space="0" w:color="000000"/>
            </w:tcBorders>
            <w:tcMar>
              <w:bottom w:w="28" w:type="dxa"/>
            </w:tcMar>
            <w:vAlign w:val="bottom"/>
          </w:tcPr>
          <w:p>
            <w:pPr>
              <w:pStyle w:val="TableContents"/>
              <w:bidi w:val="0"/>
              <w:spacing w:before="0" w:after="283"/>
              <w:jc w:val="left"/>
              <w:rPr>
                <w:b/>
              </w:rPr>
            </w:pPr>
            <w:r>
              <w:rPr>
                <w:b/>
              </w:rPr>
              <w:t>Name of beneficial owner</w:t>
            </w:r>
          </w:p>
        </w:tc>
        <w:tc>
          <w:tcPr>
            <w:tcW w:w="149" w:type="dxa"/>
            <w:tcBorders>
              <w:bottom w:val="single" w:sz="2" w:space="0" w:color="000000"/>
            </w:tcBorders>
            <w:tcMar>
              <w:bottom w:w="28" w:type="dxa"/>
            </w:tcMar>
            <w:vAlign w:val="bottom"/>
          </w:tcPr>
          <w:p>
            <w:pPr>
              <w:pStyle w:val="TableContents"/>
              <w:bidi w:val="0"/>
              <w:spacing w:before="0" w:after="283"/>
              <w:jc w:val="left"/>
              <w:rPr/>
            </w:pPr>
            <w:r>
              <w:rPr/>
              <w:t> </w:t>
            </w:r>
          </w:p>
        </w:tc>
        <w:tc>
          <w:tcPr>
            <w:tcW w:w="13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 w:type="dxa"/>
            <w:tcBorders>
              <w:bottom w:val="single" w:sz="2" w:space="0" w:color="000000"/>
            </w:tcBorders>
            <w:tcMar>
              <w:bottom w:w="28" w:type="dxa"/>
            </w:tcMar>
            <w:vAlign w:val="bottom"/>
          </w:tcPr>
          <w:p>
            <w:pPr>
              <w:pStyle w:val="TableContents"/>
              <w:bidi w:val="0"/>
              <w:spacing w:before="0" w:after="283"/>
              <w:jc w:val="left"/>
              <w:rPr/>
            </w:pPr>
            <w:r>
              <w:rPr/>
              <w:t> </w:t>
            </w:r>
          </w:p>
        </w:tc>
        <w:tc>
          <w:tcPr>
            <w:tcW w:w="1402"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 w:type="dxa"/>
            <w:tcBorders>
              <w:bottom w:val="single" w:sz="2" w:space="0" w:color="000000"/>
            </w:tcBorders>
            <w:tcMar>
              <w:bottom w:w="28" w:type="dxa"/>
            </w:tcMar>
            <w:vAlign w:val="bottom"/>
          </w:tcPr>
          <w:p>
            <w:pPr>
              <w:pStyle w:val="TableContents"/>
              <w:bidi w:val="0"/>
              <w:spacing w:before="0" w:after="283"/>
              <w:jc w:val="left"/>
              <w:rPr/>
            </w:pPr>
            <w:r>
              <w:rPr/>
              <w:t> </w:t>
            </w:r>
          </w:p>
        </w:tc>
        <w:tc>
          <w:tcPr>
            <w:tcW w:w="13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8" w:type="dxa"/>
            <w:tcBorders>
              <w:bottom w:val="single" w:sz="2" w:space="0" w:color="000000"/>
            </w:tcBorders>
            <w:tcMar>
              <w:bottom w:w="28" w:type="dxa"/>
            </w:tcMar>
            <w:vAlign w:val="bottom"/>
          </w:tcPr>
          <w:p>
            <w:pPr>
              <w:pStyle w:val="TableContents"/>
              <w:bidi w:val="0"/>
              <w:spacing w:before="0" w:after="283"/>
              <w:jc w:val="left"/>
              <w:rPr/>
            </w:pPr>
            <w:r>
              <w:rPr/>
              <w:t> </w:t>
            </w:r>
          </w:p>
        </w:tc>
        <w:tc>
          <w:tcPr>
            <w:tcW w:w="1402"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3959" w:type="dxa"/>
            <w:tcBorders/>
            <w:vAlign w:val="center"/>
          </w:tcPr>
          <w:p>
            <w:pPr>
              <w:pStyle w:val="TableContents"/>
              <w:bidi w:val="0"/>
              <w:spacing w:before="0" w:after="283"/>
              <w:jc w:val="left"/>
              <w:rPr>
                <w:sz w:val="4"/>
                <w:szCs w:val="4"/>
              </w:rPr>
            </w:pPr>
            <w:r>
              <w:rPr>
                <w:sz w:val="4"/>
                <w:szCs w:val="4"/>
              </w:rPr>
            </w:r>
          </w:p>
        </w:tc>
        <w:tc>
          <w:tcPr>
            <w:tcW w:w="1509"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c>
          <w:tcPr>
            <w:tcW w:w="1509" w:type="dxa"/>
            <w:gridSpan w:val="4"/>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r>
      <w:tr>
        <w:trPr/>
        <w:tc>
          <w:tcPr>
            <w:tcW w:w="3959" w:type="dxa"/>
            <w:tcBorders/>
            <w:shd w:fill="CCEEFF" w:val="clear"/>
          </w:tcPr>
          <w:p>
            <w:pPr>
              <w:pStyle w:val="TableContents"/>
              <w:bidi w:val="0"/>
              <w:spacing w:before="0" w:after="0"/>
              <w:jc w:val="left"/>
              <w:rPr>
                <w:rFonts w:ascii="arial" w:hAnsi="arial"/>
                <w:b/>
                <w:i/>
                <w:sz w:val="20"/>
              </w:rPr>
            </w:pPr>
            <w:r>
              <w:rPr>
                <w:rFonts w:ascii="arial" w:hAnsi="arial"/>
                <w:b/>
                <w:i/>
                <w:sz w:val="20"/>
              </w:rPr>
              <w:t>5% and greater stockholders: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59" w:type="dxa"/>
            <w:tcBorders/>
          </w:tcPr>
          <w:p>
            <w:pPr>
              <w:pStyle w:val="TableContents"/>
              <w:bidi w:val="0"/>
              <w:spacing w:before="0" w:after="0"/>
              <w:jc w:val="left"/>
              <w:rPr>
                <w:rFonts w:ascii="arial" w:hAnsi="arial"/>
                <w:sz w:val="20"/>
              </w:rPr>
            </w:pPr>
            <w:r>
              <w:rPr>
                <w:rFonts w:ascii="arial" w:hAnsi="arial"/>
                <w:sz w:val="20"/>
              </w:rPr>
              <w:t>Entities affiliated with Qiming Venture Partners(1)</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10,594,547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10,594,547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15.8%</w:t>
            </w:r>
          </w:p>
        </w:tc>
        <w:tc>
          <w:tcPr>
            <w:tcW w:w="67" w:type="dxa"/>
            <w:tcBorders/>
            <w:vAlign w:val="bottom"/>
          </w:tcPr>
          <w:p>
            <w:pPr>
              <w:pStyle w:val="TableContents"/>
              <w:bidi w:val="0"/>
              <w:spacing w:before="0" w:after="283"/>
              <w:jc w:val="left"/>
              <w:rPr/>
            </w:pPr>
            <w:r>
              <w:rPr/>
              <w:t> </w:t>
            </w:r>
          </w:p>
        </w:tc>
      </w:tr>
      <w:tr>
        <w:trPr/>
        <w:tc>
          <w:tcPr>
            <w:tcW w:w="3959"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Illumina Innovation Funds(2)</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6,128,318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6,128,318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9.1%</w:t>
            </w:r>
          </w:p>
        </w:tc>
        <w:tc>
          <w:tcPr>
            <w:tcW w:w="67" w:type="dxa"/>
            <w:tcBorders/>
            <w:shd w:fill="CCEEFF" w:val="clear"/>
            <w:vAlign w:val="bottom"/>
          </w:tcPr>
          <w:p>
            <w:pPr>
              <w:pStyle w:val="TableContents"/>
              <w:bidi w:val="0"/>
              <w:spacing w:before="0" w:after="283"/>
              <w:jc w:val="left"/>
              <w:rPr/>
            </w:pPr>
            <w:r>
              <w:rPr/>
              <w:t> </w:t>
            </w:r>
          </w:p>
        </w:tc>
      </w:tr>
      <w:tr>
        <w:trPr/>
        <w:tc>
          <w:tcPr>
            <w:tcW w:w="3959" w:type="dxa"/>
            <w:tcBorders/>
          </w:tcPr>
          <w:p>
            <w:pPr>
              <w:pStyle w:val="TableContents"/>
              <w:bidi w:val="0"/>
              <w:spacing w:before="0" w:after="0"/>
              <w:jc w:val="left"/>
              <w:rPr>
                <w:rFonts w:ascii="arial" w:hAnsi="arial"/>
                <w:sz w:val="20"/>
              </w:rPr>
            </w:pPr>
            <w:r>
              <w:rPr>
                <w:rFonts w:ascii="arial" w:hAnsi="arial"/>
                <w:sz w:val="20"/>
              </w:rPr>
              <w:t>Entities affiliated with Sherpa Healthcare Partners(3)</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4,795,663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4,795,663</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7.1%</w:t>
            </w:r>
          </w:p>
        </w:tc>
        <w:tc>
          <w:tcPr>
            <w:tcW w:w="67" w:type="dxa"/>
            <w:tcBorders/>
            <w:vAlign w:val="bottom"/>
          </w:tcPr>
          <w:p>
            <w:pPr>
              <w:pStyle w:val="TableContents"/>
              <w:bidi w:val="0"/>
              <w:spacing w:before="0" w:after="283"/>
              <w:jc w:val="left"/>
              <w:rPr/>
            </w:pPr>
            <w:r>
              <w:rPr/>
              <w:t> </w:t>
            </w:r>
          </w:p>
        </w:tc>
      </w:tr>
      <w:tr>
        <w:trPr/>
        <w:tc>
          <w:tcPr>
            <w:tcW w:w="3959" w:type="dxa"/>
            <w:tcBorders/>
            <w:shd w:fill="CCEEFF" w:val="clear"/>
          </w:tcPr>
          <w:p>
            <w:pPr>
              <w:pStyle w:val="TableContents"/>
              <w:bidi w:val="0"/>
              <w:spacing w:before="0" w:after="0"/>
              <w:jc w:val="left"/>
              <w:rPr>
                <w:rFonts w:ascii="arial" w:hAnsi="arial"/>
                <w:sz w:val="20"/>
              </w:rPr>
            </w:pPr>
            <w:r>
              <w:rPr>
                <w:rFonts w:ascii="arial" w:hAnsi="arial"/>
                <w:sz w:val="20"/>
              </w:rPr>
              <w:t>Sands Capital Life Sciences Pulse Fund II, L.P.(4)</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3,930,926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3,930,926</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5.9%</w:t>
            </w:r>
          </w:p>
        </w:tc>
        <w:tc>
          <w:tcPr>
            <w:tcW w:w="67" w:type="dxa"/>
            <w:tcBorders/>
            <w:shd w:fill="CCEEFF" w:val="clear"/>
            <w:vAlign w:val="bottom"/>
          </w:tcPr>
          <w:p>
            <w:pPr>
              <w:pStyle w:val="TableContents"/>
              <w:bidi w:val="0"/>
              <w:spacing w:before="0" w:after="283"/>
              <w:jc w:val="left"/>
              <w:rPr/>
            </w:pPr>
            <w:r>
              <w:rPr/>
              <w:t> </w:t>
            </w:r>
          </w:p>
        </w:tc>
      </w:tr>
      <w:tr>
        <w:trPr/>
        <w:tc>
          <w:tcPr>
            <w:tcW w:w="3959" w:type="dxa"/>
            <w:tcBorders/>
          </w:tcPr>
          <w:p>
            <w:pPr>
              <w:pStyle w:val="TableContents"/>
              <w:bidi w:val="0"/>
              <w:spacing w:before="0" w:after="0"/>
              <w:jc w:val="left"/>
              <w:rPr>
                <w:rFonts w:ascii="arial" w:hAnsi="arial"/>
                <w:sz w:val="20"/>
              </w:rPr>
            </w:pPr>
            <w:r>
              <w:rPr>
                <w:rFonts w:ascii="arial" w:hAnsi="arial"/>
                <w:sz w:val="20"/>
              </w:rPr>
              <w:t>Lian Luo(5)</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2,977,665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2,977,665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4.4%</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930"/>
        <w:gridCol w:w="154"/>
        <w:gridCol w:w="60"/>
        <w:gridCol w:w="1246"/>
        <w:gridCol w:w="60"/>
        <w:gridCol w:w="154"/>
        <w:gridCol w:w="168"/>
        <w:gridCol w:w="1233"/>
        <w:gridCol w:w="60"/>
        <w:gridCol w:w="154"/>
        <w:gridCol w:w="60"/>
        <w:gridCol w:w="1245"/>
        <w:gridCol w:w="60"/>
        <w:gridCol w:w="154"/>
        <w:gridCol w:w="168"/>
        <w:gridCol w:w="1233"/>
        <w:gridCol w:w="66"/>
      </w:tblGrid>
      <w:tr>
        <w:trPr/>
        <w:tc>
          <w:tcPr>
            <w:tcW w:w="393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930" w:type="dxa"/>
            <w:tcBorders>
              <w:top w:val="single" w:sz="16" w:space="0" w:color="000000"/>
            </w:tcBorders>
            <w:tcMar>
              <w:top w:w="28" w:type="dxa"/>
            </w:tcMar>
            <w:vAlign w:val="center"/>
          </w:tcPr>
          <w:p>
            <w:pPr>
              <w:pStyle w:val="TableContents"/>
              <w:bidi w:val="0"/>
              <w:spacing w:before="0" w:after="283"/>
              <w:jc w:val="left"/>
              <w:rPr/>
            </w:pPr>
            <w:r>
              <w:rPr/>
              <w:t> </w:t>
            </w:r>
          </w:p>
        </w:tc>
        <w:tc>
          <w:tcPr>
            <w:tcW w:w="313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14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9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921"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prior</w:t>
              <w:br/>
              <w:t>to this offering</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9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after</w:t>
              <w:br/>
              <w:t>this offering</w:t>
            </w:r>
          </w:p>
        </w:tc>
        <w:tc>
          <w:tcPr>
            <w:tcW w:w="66" w:type="dxa"/>
            <w:tcBorders/>
            <w:vAlign w:val="bottom"/>
          </w:tcPr>
          <w:p>
            <w:pPr>
              <w:pStyle w:val="TableContents"/>
              <w:bidi w:val="0"/>
              <w:spacing w:before="0" w:after="283"/>
              <w:jc w:val="left"/>
              <w:rPr/>
            </w:pPr>
            <w:r>
              <w:rPr/>
              <w:t> </w:t>
            </w:r>
          </w:p>
        </w:tc>
      </w:tr>
      <w:tr>
        <w:trPr/>
        <w:tc>
          <w:tcPr>
            <w:tcW w:w="3930" w:type="dxa"/>
            <w:tcBorders>
              <w:bottom w:val="single" w:sz="2" w:space="0" w:color="000000"/>
            </w:tcBorders>
            <w:tcMar>
              <w:bottom w:w="28" w:type="dxa"/>
            </w:tcMar>
            <w:vAlign w:val="bottom"/>
          </w:tcPr>
          <w:p>
            <w:pPr>
              <w:pStyle w:val="TableContents"/>
              <w:bidi w:val="0"/>
              <w:spacing w:before="0" w:after="283"/>
              <w:jc w:val="left"/>
              <w:rPr>
                <w:b/>
              </w:rPr>
            </w:pPr>
            <w:r>
              <w:rPr>
                <w:b/>
              </w:rPr>
              <w:t>Name of beneficial owner</w:t>
            </w:r>
          </w:p>
        </w:tc>
        <w:tc>
          <w:tcPr>
            <w:tcW w:w="154" w:type="dxa"/>
            <w:tcBorders>
              <w:bottom w:val="single" w:sz="2" w:space="0" w:color="000000"/>
            </w:tcBorders>
            <w:tcMar>
              <w:bottom w:w="28" w:type="dxa"/>
            </w:tcMar>
            <w:vAlign w:val="bottom"/>
          </w:tcPr>
          <w:p>
            <w:pPr>
              <w:pStyle w:val="TableContents"/>
              <w:bidi w:val="0"/>
              <w:spacing w:before="0" w:after="283"/>
              <w:jc w:val="left"/>
              <w:rPr/>
            </w:pPr>
            <w:r>
              <w:rPr/>
              <w:t> </w:t>
            </w:r>
          </w:p>
        </w:tc>
        <w:tc>
          <w:tcPr>
            <w:tcW w:w="1306"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 w:type="dxa"/>
            <w:tcBorders>
              <w:bottom w:val="single" w:sz="2" w:space="0" w:color="000000"/>
            </w:tcBorders>
            <w:tcMar>
              <w:bottom w:w="28" w:type="dxa"/>
            </w:tcMar>
            <w:vAlign w:val="bottom"/>
          </w:tcPr>
          <w:p>
            <w:pPr>
              <w:pStyle w:val="TableContents"/>
              <w:bidi w:val="0"/>
              <w:spacing w:before="0" w:after="283"/>
              <w:jc w:val="left"/>
              <w:rPr/>
            </w:pPr>
            <w:r>
              <w:rPr/>
              <w:t> </w:t>
            </w:r>
          </w:p>
        </w:tc>
        <w:tc>
          <w:tcPr>
            <w:tcW w:w="1401"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 w:type="dxa"/>
            <w:tcBorders>
              <w:bottom w:val="single" w:sz="2" w:space="0" w:color="000000"/>
            </w:tcBorders>
            <w:tcMar>
              <w:bottom w:w="28" w:type="dxa"/>
            </w:tcMar>
            <w:vAlign w:val="bottom"/>
          </w:tcPr>
          <w:p>
            <w:pPr>
              <w:pStyle w:val="TableContents"/>
              <w:bidi w:val="0"/>
              <w:spacing w:before="0" w:after="283"/>
              <w:jc w:val="left"/>
              <w:rPr/>
            </w:pPr>
            <w:r>
              <w:rPr/>
              <w:t> </w:t>
            </w:r>
          </w:p>
        </w:tc>
        <w:tc>
          <w:tcPr>
            <w:tcW w:w="1305"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 w:type="dxa"/>
            <w:tcBorders>
              <w:bottom w:val="single" w:sz="2" w:space="0" w:color="000000"/>
            </w:tcBorders>
            <w:tcMar>
              <w:bottom w:w="28" w:type="dxa"/>
            </w:tcMar>
            <w:vAlign w:val="bottom"/>
          </w:tcPr>
          <w:p>
            <w:pPr>
              <w:pStyle w:val="TableContents"/>
              <w:bidi w:val="0"/>
              <w:spacing w:before="0" w:after="283"/>
              <w:jc w:val="left"/>
              <w:rPr/>
            </w:pPr>
            <w:r>
              <w:rPr/>
              <w:t> </w:t>
            </w:r>
          </w:p>
        </w:tc>
        <w:tc>
          <w:tcPr>
            <w:tcW w:w="1401"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3930"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621" w:type="dxa"/>
            <w:gridSpan w:val="4"/>
            <w:tcBorders/>
            <w:vAlign w:val="center"/>
          </w:tcPr>
          <w:p>
            <w:pPr>
              <w:pStyle w:val="TableContents"/>
              <w:bidi w:val="0"/>
              <w:spacing w:before="0" w:after="283"/>
              <w:jc w:val="left"/>
              <w:rPr>
                <w:sz w:val="4"/>
                <w:szCs w:val="4"/>
              </w:rPr>
            </w:pPr>
            <w:r>
              <w:rPr>
                <w:sz w:val="4"/>
                <w:szCs w:val="4"/>
              </w:rPr>
            </w:r>
          </w:p>
        </w:tc>
      </w:tr>
      <w:tr>
        <w:trPr/>
        <w:tc>
          <w:tcPr>
            <w:tcW w:w="3930" w:type="dxa"/>
            <w:tcBorders/>
            <w:shd w:fill="CCEEFF" w:val="clear"/>
          </w:tcPr>
          <w:p>
            <w:pPr>
              <w:pStyle w:val="TableContents"/>
              <w:bidi w:val="0"/>
              <w:spacing w:before="0" w:after="0"/>
              <w:jc w:val="left"/>
              <w:rPr>
                <w:rFonts w:ascii="arial" w:hAnsi="arial"/>
                <w:b/>
                <w:i/>
                <w:sz w:val="20"/>
              </w:rPr>
            </w:pPr>
            <w:r>
              <w:rPr>
                <w:rFonts w:ascii="arial" w:hAnsi="arial"/>
                <w:b/>
                <w:i/>
                <w:sz w:val="20"/>
              </w:rPr>
              <w:t>Named executive officers and directors: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30" w:type="dxa"/>
            <w:tcBorders/>
          </w:tcPr>
          <w:p>
            <w:pPr>
              <w:pStyle w:val="TableContents"/>
              <w:bidi w:val="0"/>
              <w:spacing w:before="0" w:after="0"/>
              <w:jc w:val="left"/>
              <w:rPr>
                <w:rFonts w:ascii="arial" w:hAnsi="arial"/>
                <w:sz w:val="20"/>
              </w:rPr>
            </w:pPr>
            <w:r>
              <w:rPr>
                <w:rFonts w:ascii="arial" w:hAnsi="arial"/>
                <w:sz w:val="20"/>
              </w:rPr>
              <w:t>Yuling Luo, Ph.D.(6)</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6,207,834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6,207,834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9.0%</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arial" w:hAnsi="arial"/>
                <w:sz w:val="20"/>
              </w:rPr>
            </w:pPr>
            <w:r>
              <w:rPr>
                <w:rFonts w:ascii="arial" w:hAnsi="arial"/>
                <w:sz w:val="20"/>
              </w:rPr>
              <w:t>Justin McAnear</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arial" w:hAnsi="arial"/>
                <w:sz w:val="20"/>
              </w:rPr>
            </w:pPr>
            <w:r>
              <w:rPr>
                <w:rFonts w:ascii="arial" w:hAnsi="arial"/>
                <w:sz w:val="20"/>
              </w:rPr>
              <w:t>Shiping (“Steve”) Chen, Ph.D.(7)</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2,058,697</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2,058,697</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3.0%</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arial" w:hAnsi="arial"/>
                <w:sz w:val="20"/>
              </w:rPr>
            </w:pPr>
            <w:r>
              <w:rPr>
                <w:rFonts w:ascii="arial" w:hAnsi="arial"/>
                <w:sz w:val="20"/>
              </w:rPr>
              <w:t>Rebecca Chambers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arial" w:hAnsi="arial"/>
                <w:sz w:val="20"/>
              </w:rPr>
            </w:pPr>
            <w:r>
              <w:rPr>
                <w:rFonts w:ascii="arial" w:hAnsi="arial"/>
                <w:sz w:val="20"/>
              </w:rPr>
              <w:t>Nicholas Naclerio, Ph.D.(2)</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6,128,318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6,128,318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9.1%</w:t>
            </w:r>
          </w:p>
        </w:tc>
        <w:tc>
          <w:tcPr>
            <w:tcW w:w="66" w:type="dxa"/>
            <w:tcBorders/>
            <w:vAlign w:val="bottom"/>
          </w:tcPr>
          <w:p>
            <w:pPr>
              <w:pStyle w:val="TableContents"/>
              <w:bidi w:val="0"/>
              <w:spacing w:before="0" w:after="283"/>
              <w:jc w:val="left"/>
              <w:rPr/>
            </w:pPr>
            <w:r>
              <w:rPr/>
              <w:t> </w:t>
            </w:r>
          </w:p>
        </w:tc>
      </w:tr>
      <w:tr>
        <w:trPr/>
        <w:tc>
          <w:tcPr>
            <w:tcW w:w="3930" w:type="dxa"/>
            <w:tcBorders/>
            <w:shd w:fill="CCEEFF" w:val="clear"/>
          </w:tcPr>
          <w:p>
            <w:pPr>
              <w:pStyle w:val="TableContents"/>
              <w:bidi w:val="0"/>
              <w:spacing w:before="0" w:after="0"/>
              <w:jc w:val="left"/>
              <w:rPr>
                <w:rFonts w:ascii="arial" w:hAnsi="arial"/>
                <w:sz w:val="20"/>
              </w:rPr>
            </w:pPr>
            <w:r>
              <w:rPr>
                <w:rFonts w:ascii="arial" w:hAnsi="arial"/>
                <w:sz w:val="20"/>
              </w:rPr>
              <w:t>Ian W. Ratcliffe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930" w:type="dxa"/>
            <w:tcBorders/>
          </w:tcPr>
          <w:p>
            <w:pPr>
              <w:pStyle w:val="TableContents"/>
              <w:bidi w:val="0"/>
              <w:spacing w:before="0" w:after="0"/>
              <w:jc w:val="left"/>
              <w:rPr>
                <w:rFonts w:ascii="arial" w:hAnsi="arial"/>
                <w:sz w:val="20"/>
              </w:rPr>
            </w:pPr>
            <w:r>
              <w:rPr>
                <w:rFonts w:ascii="arial" w:hAnsi="arial"/>
                <w:sz w:val="20"/>
              </w:rPr>
              <w:t>Frank R. Witney, Ph.D.(8)</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60,655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60,655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930"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All directors and executive officers as a group (8 persons)(9)</w:t>
            </w:r>
          </w:p>
        </w:tc>
        <w:tc>
          <w:tcPr>
            <w:tcW w:w="15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46" w:type="dxa"/>
            <w:tcBorders>
              <w:bottom w:val="single" w:sz="2" w:space="0" w:color="000000"/>
            </w:tcBorders>
            <w:shd w:fill="CCEEFF" w:val="clear"/>
            <w:tcMar>
              <w:bottom w:w="28" w:type="dxa"/>
            </w:tcMar>
            <w:vAlign w:val="bottom"/>
          </w:tcPr>
          <w:p>
            <w:pPr>
              <w:pStyle w:val="TableContents"/>
              <w:bidi w:val="0"/>
              <w:spacing w:before="0" w:after="283"/>
              <w:jc w:val="right"/>
              <w:rPr/>
            </w:pPr>
            <w:r>
              <w:rPr/>
              <w:t>15,181,306</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3" w:type="dxa"/>
            <w:tcBorders>
              <w:bottom w:val="single" w:sz="2" w:space="0" w:color="000000"/>
            </w:tcBorders>
            <w:shd w:fill="CCEEFF" w:val="clear"/>
            <w:tcMar>
              <w:bottom w:w="28" w:type="dxa"/>
            </w:tcMar>
            <w:vAlign w:val="bottom"/>
          </w:tcPr>
          <w:p>
            <w:pPr>
              <w:pStyle w:val="TableContents"/>
              <w:bidi w:val="0"/>
              <w:spacing w:before="0" w:after="283"/>
              <w:jc w:val="right"/>
              <w:rPr/>
            </w:pPr>
            <w:r>
              <w:rPr/>
              <w:t>26.1%</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45" w:type="dxa"/>
            <w:tcBorders>
              <w:bottom w:val="single" w:sz="2" w:space="0" w:color="000000"/>
            </w:tcBorders>
            <w:shd w:fill="CCEEFF" w:val="clear"/>
            <w:tcMar>
              <w:bottom w:w="28" w:type="dxa"/>
            </w:tcMar>
            <w:vAlign w:val="bottom"/>
          </w:tcPr>
          <w:p>
            <w:pPr>
              <w:pStyle w:val="TableContents"/>
              <w:bidi w:val="0"/>
              <w:spacing w:before="0" w:after="283"/>
              <w:jc w:val="right"/>
              <w:rPr/>
            </w:pPr>
            <w:r>
              <w:rPr/>
              <w:t>15,181,306</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3" w:type="dxa"/>
            <w:tcBorders>
              <w:bottom w:val="single" w:sz="2" w:space="0" w:color="000000"/>
            </w:tcBorders>
            <w:shd w:fill="CCEEFF" w:val="clear"/>
            <w:tcMar>
              <w:bottom w:w="28" w:type="dxa"/>
            </w:tcMar>
            <w:vAlign w:val="bottom"/>
          </w:tcPr>
          <w:p>
            <w:pPr>
              <w:pStyle w:val="TableContents"/>
              <w:bidi w:val="0"/>
              <w:spacing w:before="0" w:after="283"/>
              <w:jc w:val="right"/>
              <w:rPr/>
            </w:pPr>
            <w:r>
              <w:rPr/>
              <w:t>21.9%</w:t>
            </w:r>
          </w:p>
        </w:tc>
        <w:tc>
          <w:tcPr>
            <w:tcW w:w="6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283"/>
              <w:jc w:val="left"/>
              <w:rPr/>
            </w:pPr>
            <w:r>
              <w:rPr/>
              <w:t xml:space="preserve">Represents beneficial ownership of 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Consists of (i) 185,163 shares of common stock held by Qiming Managing Directors Fund VI, L.P., (“Qiming Managing Directors”), (ii) 6,881,410 shares of common stock held by Qiming Venture Partners VI, L.P., (“Qiming Venture Partners VI”), (iii) 1,605,645 shares of common stock held by Qiming Venture Partners VIII Investments, LLC (“QVP VIII LLC”) and (iv) 1,922,329 shares of common stock held by Qiming Venture Partners VIII-HC, L.P. (“QVP VIII-HC”). The general partner of Qiming Venture Partners VI is Qiming GP VI, L.P., a Cayman Islands exempted limited partnership, whose general partner is Qiming Corporate GP VI, Ltd. (“Qiming Corporate”), a Cayman Islands limited company, which is also the general partner of Qiming Managing Directors. The voting and investment power of the shares held by Qiming Venture Partners VI and Qiming Managing Directors in the company is exercised by Qiming Corporate. The general partner of QVP VIII-HC is Qiming GP VIII-HC, LLC, a Cayman Islands limited liability company. The voting and investment power of the shares held by QVP VIII-HC in the company is exercised by Qiming GP VIII-HC, LLC. QVP VIII LLC is owned by Qiming Venture Partners VIII, L.P. (“QVP VIII”) and Qiming VIII Strategic Investors Fund, L.P. (“SIF VIII”). The general partner of QVP VIII and SIF VIII is Qiming GP VIII, LLC, a Cayman Islands limited liability company. The voting and investment power of the shares held by QVP VIII and SIF VIII in the company is exercised by Qiming GP VIII, LLC. Qiming Corporate, Qiming GP VIII-HC, LLC and Qiming GP VIII, LLC are beneficially owned by Duane Ziping Kuang, Gary Edward Rieschel, Suk Han Grace Lee and Ho Man Lam, who disclaim beneficial ownership of such shares, except to the extent of any pecuniary interest therein. The address for each of the entities is PO Box 309, Ugland House, Grand Cayman, KY1-1104,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7"/>
        <w:gridCol w:w="9875"/>
      </w:tblGrid>
      <w:tr>
        <w:trPr/>
        <w:tc>
          <w:tcPr>
            <w:tcW w:w="223" w:type="dxa"/>
            <w:tcBorders/>
          </w:tcPr>
          <w:p>
            <w:pPr>
              <w:pStyle w:val="TableContents"/>
              <w:bidi w:val="0"/>
              <w:spacing w:before="0" w:after="283"/>
              <w:jc w:val="left"/>
              <w:rPr/>
            </w:pPr>
            <w:r>
              <w:rPr/>
              <w:t>(2)</w:t>
            </w:r>
          </w:p>
        </w:tc>
        <w:tc>
          <w:tcPr>
            <w:tcW w:w="107"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Consists of (i) 5,856,536 shares of common stock held by Illumina Innovation Fund II, L.P. (“IIF II”) and (ii) 271,782 shares of common stock held by Illumina Innovation Fund III, L.P (“IIF III”). Illumina Innovation Fund II GP, L.L.C. (“IIF II GP”) is the general partner of IIF II and Illumina Innovation Fund III GP, L.L.C. (“IIF III GP”) is the general partner of IIF III. Nicholas Naclerio (the “Managing Member”), a member of our board of directors, is the sole managing member of IIF II GP and IIF III GP, and each of IIF II GP, IIF III GP and the Managing Member may be deemed to have voting, investment and dispositive power with respect to the securities held by each of IIF II and IIF III. Each of IIF II GP, IIF III GP and the Managing Member disclaims beneficial ownership over the Securities held by IIF II and IIF III GP, except to the extent of their respective pecuniary interests therein, if any. The address for Illumina Innovation Funds is 500 Lincoln Centre Drive, Suite 110, Foster City, CA 94404.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(i) 972,276 shares of common stock held by Sherpa Healthcare Co-Investment Fund, L.P. and (ii) 3,823,387 shares of common stock held by Sherpa Healthcare Fund II, L.P. The general partner of Sherpa Healthcare Fund II, L.P. and the general partner of Sherpa Healthcare Co-Investment Fund, L.P. are ultimately controlled by Daqing Cai and therefore Daqing Cai may be deemed to have voting and dispositive control over the shares held by these entities. The business address for each of the entities is C/O Walkers Corporate Limited, Cayman Corporate Centre, 190 Elgin Avenue, George Town, Grand Cayman KY1-9008,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(4)</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Consists of 3,930,926 shares of common stock held by Sands Capital Life Sciences Pulse Fund II, L.P. (“Sands Pulse Fund II”). Voting and investment control is shared jointly by (i) Sands Pulse Fund II, (ii) Sands Capital Alternatives, LLC (“Sands Capital Alternatives”), the investment adviser of Sands Pulse Fund II, and (iii) Frank M. Sands (“Sands”). Sands Capital Life Sciences Pulse Fund II-GP, L.P. (“Sands Pulse GP LP”) is the general partner of Sands Pulse Fund II. Sands Capital Life Sciences Pulse Fund-GP, LLC (“Sands Pulse GP LLC” and, together with Sands Pulse GP LP, the “Sands General Partners”) is the general partner of Sands Pulse GP LP. Sands controls the management of Sands Capital Alternatives, the Sands General Partners and Sands Pulse Fund II and therefore holds ultimate voting and investment power over securities held by the Sands Pulse Fund II. Sands Capital Alternatives, the Sands General Partners, and Sands each disclaim beneficial ownership of such securities except to the extent of their relative pecuniary interest therein. The address of all entities and the individual referenced in this footnote is 1000 Wilson Boulevard, Suite 3000, Arlington, VA 22209.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6"/>
        <w:gridCol w:w="107"/>
        <w:gridCol w:w="9872"/>
      </w:tblGrid>
      <w:tr>
        <w:trPr/>
        <w:tc>
          <w:tcPr>
            <w:tcW w:w="226" w:type="dxa"/>
            <w:tcBorders/>
          </w:tcPr>
          <w:p>
            <w:pPr>
              <w:pStyle w:val="TableContents"/>
              <w:bidi w:val="0"/>
              <w:spacing w:before="0" w:after="283"/>
              <w:jc w:val="left"/>
              <w:rPr/>
            </w:pPr>
            <w:r>
              <w:rPr/>
              <w:t>(5)</w:t>
            </w:r>
          </w:p>
        </w:tc>
        <w:tc>
          <w:tcPr>
            <w:tcW w:w="107" w:type="dxa"/>
            <w:tcBorders/>
          </w:tcPr>
          <w:p>
            <w:pPr>
              <w:pStyle w:val="TableContents"/>
              <w:bidi w:val="0"/>
              <w:spacing w:before="0" w:after="283"/>
              <w:jc w:val="left"/>
              <w:rPr/>
            </w:pPr>
            <w:r>
              <w:rPr/>
              <w:t> </w:t>
            </w:r>
          </w:p>
        </w:tc>
        <w:tc>
          <w:tcPr>
            <w:tcW w:w="9872" w:type="dxa"/>
            <w:tcBorders/>
          </w:tcPr>
          <w:p>
            <w:pPr>
              <w:pStyle w:val="TableContents"/>
              <w:bidi w:val="0"/>
              <w:spacing w:before="0" w:after="283"/>
              <w:jc w:val="left"/>
              <w:rPr/>
            </w:pPr>
            <w:r>
              <w:rPr/>
              <w:t xml:space="preserve">Consists of (i) 165,425 shares of common stock held by Mr. Luo and (ii) 2,812,240 shares of common stock held by the Luo-Chen Family Irrevocable Gift Trust (the “Luo-Chen Trust”), for which Mr. Luo serves as trustee. These shares are held for the benefit of certain family members of Dr. Luo, but Dr. Luo does not exercise any voting or dispositive power over the shares held by the Luo-Chen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(i) 3,545,827 shares of common stock held by Dr. Luo, (ii) 1,224,152 shares of common stock held by Dr. Luo’s spouse, and (iii) 1,437,855 shares of common stock subject to stock options that are exercisable within 60 days of March 1, 2026, 686,776 of which are vested as of such date.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(7)</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(i) 1,671,417 shares of common stock held by Dr. Chen, of which 9,034 shares will be unvested and remain subject to a right of repurchase by us within 60 days of March 1, 2026, and (ii) 387,280 shares of common stock subject to stock options that are exercisable within 60 days of March 1, 2026, 100,285 of which will be vested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7"/>
        <w:gridCol w:w="9875"/>
      </w:tblGrid>
      <w:tr>
        <w:trPr/>
        <w:tc>
          <w:tcPr>
            <w:tcW w:w="223" w:type="dxa"/>
            <w:tcBorders/>
          </w:tcPr>
          <w:p>
            <w:pPr>
              <w:pStyle w:val="TableContents"/>
              <w:bidi w:val="0"/>
              <w:spacing w:before="0" w:after="283"/>
              <w:jc w:val="left"/>
              <w:rPr/>
            </w:pPr>
            <w:r>
              <w:rPr/>
              <w:t>(8)</w:t>
            </w:r>
          </w:p>
        </w:tc>
        <w:tc>
          <w:tcPr>
            <w:tcW w:w="107"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Consists of 60,655 shares of common stock subject to stock options held by Dr. Witney that are exercisable within 60 days of March 1, 2026, all of which will be vested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105"/>
        <w:gridCol w:w="9883"/>
      </w:tblGrid>
      <w:tr>
        <w:trPr/>
        <w:tc>
          <w:tcPr>
            <w:tcW w:w="217" w:type="dxa"/>
            <w:tcBorders/>
          </w:tcPr>
          <w:p>
            <w:pPr>
              <w:pStyle w:val="TableContents"/>
              <w:bidi w:val="0"/>
              <w:spacing w:before="0" w:after="283"/>
              <w:jc w:val="left"/>
              <w:rPr/>
            </w:pPr>
            <w:r>
              <w:rPr/>
              <w:t>(9)</w:t>
            </w:r>
          </w:p>
        </w:tc>
        <w:tc>
          <w:tcPr>
            <w:tcW w:w="105" w:type="dxa"/>
            <w:tcBorders/>
          </w:tcPr>
          <w:p>
            <w:pPr>
              <w:pStyle w:val="TableContents"/>
              <w:bidi w:val="0"/>
              <w:spacing w:before="0" w:after="283"/>
              <w:jc w:val="left"/>
              <w:rPr/>
            </w:pPr>
            <w:r>
              <w:rPr/>
              <w:t> </w:t>
            </w:r>
          </w:p>
        </w:tc>
        <w:tc>
          <w:tcPr>
            <w:tcW w:w="9883" w:type="dxa"/>
            <w:tcBorders/>
          </w:tcPr>
          <w:p>
            <w:pPr>
              <w:pStyle w:val="TableContents"/>
              <w:bidi w:val="0"/>
              <w:spacing w:before="0" w:after="283"/>
              <w:jc w:val="left"/>
              <w:rPr/>
            </w:pPr>
            <w:r>
              <w:rPr/>
              <w:t xml:space="preserve">Consists of (i) 15,181,306 shares of common stock beneficially owned by our current executive officers and directors, of which 10,722 shares will be unvested and remain subject to a right of repurchase by us within 60 days of March 1, 2026, and (ii) 2,157,009 shares of common stock subject to stock options that are exercisable within 60 days of March 1, 2026, 962,781 of which will be vested as of such date.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0" w:name="toc39680_15"/>
      <w:bookmarkEnd w:id="20"/>
      <w:r>
        <w:rPr>
          <w:rFonts w:ascii="arial" w:hAnsi="arial"/>
          <w:b/>
          <w:sz w:val="32"/>
        </w:rPr>
        <w:t xml:space="preserve">Description of capital stock </w:t>
      </w:r>
    </w:p>
    <w:p>
      <w:pPr>
        <w:pStyle w:val="TextBody"/>
        <w:bidi w:val="0"/>
        <w:spacing w:before="160" w:after="0"/>
        <w:jc w:val="left"/>
        <w:rPr>
          <w:rFonts w:ascii="arial" w:hAnsi="arial"/>
          <w:b/>
          <w:sz w:val="24"/>
        </w:rPr>
      </w:pPr>
      <w:r>
        <w:rPr>
          <w:rFonts w:ascii="arial" w:hAnsi="arial"/>
          <w:b/>
          <w:sz w:val="24"/>
        </w:rPr>
        <w:t xml:space="preserve">General </w:t>
      </w:r>
    </w:p>
    <w:p>
      <w:pPr>
        <w:pStyle w:val="TextBody"/>
        <w:bidi w:val="0"/>
        <w:spacing w:before="160" w:after="0"/>
        <w:jc w:val="left"/>
        <w:rPr>
          <w:rFonts w:ascii="arial" w:hAnsi="arial"/>
          <w:sz w:val="20"/>
        </w:rPr>
      </w:pPr>
      <w:r>
        <w:rPr>
          <w:rFonts w:ascii="arial" w:hAnsi="arial"/>
          <w:sz w:val="20"/>
        </w:rPr>
        <w:t xml:space="preserve">The following description of our capital stock and certain provisions of our amended and restated certificate of incorporation and amended and restated bylaws, which will each become effective immediately prior to the closing of this offering, our investors’ rights agreement and relevant provisions of Delaware General Corporation Law (“DGCL”). The descriptions herein are summaries qualified in their entirety by our amended and restated certificate of incorporation, amended and restated bylaws and investors’ rights agreement, copies of which will be filed as exhibits to the registration statement of which this prospectus is a part, as well as the relevant provisions of DGCL. The descriptions of our common stock and preferred stock reflect changes to our capital structure that will be in effect on the closing of this offering. </w:t>
      </w:r>
    </w:p>
    <w:p>
      <w:pPr>
        <w:pStyle w:val="TextBody"/>
        <w:bidi w:val="0"/>
        <w:spacing w:before="160" w:after="0"/>
        <w:jc w:val="left"/>
        <w:rPr>
          <w:rFonts w:ascii="arial" w:hAnsi="arial"/>
          <w:sz w:val="20"/>
        </w:rPr>
      </w:pPr>
      <w:r>
        <w:rPr>
          <w:rFonts w:ascii="arial" w:hAnsi="arial"/>
          <w:sz w:val="20"/>
        </w:rPr>
        <w:t>Upon the filing of our amended and restated certificate of incorporation and the closing of this offering, our authorized capital stock will consist of 1,000,000,000 shares of common stock, $0.0001 par value per share, and 20,000,000 shares of preferred stock, $0.0001 par value per share.</w:t>
      </w:r>
    </w:p>
    <w:p>
      <w:pPr>
        <w:pStyle w:val="TextBody"/>
        <w:bidi w:val="0"/>
        <w:spacing w:before="160" w:after="0"/>
        <w:jc w:val="left"/>
        <w:rPr>
          <w:rFonts w:ascii="arial" w:hAnsi="arial"/>
          <w:sz w:val="20"/>
        </w:rPr>
      </w:pPr>
      <w:r>
        <w:rPr>
          <w:rFonts w:ascii="arial" w:hAnsi="arial"/>
          <w:sz w:val="20"/>
        </w:rPr>
        <w:t xml:space="preserve">As of December 31, 2025, after giving effect to the Preferred Stock Conversion, the Founders Preferred Stock Conversion, the Class A Conversion, the Common Stock Redesignation and the Convertible Notes Conversion (as if each had occurred as of December 31, 2025), we had 55,271,425 shares of common stock outstanding. </w:t>
      </w:r>
    </w:p>
    <w:p>
      <w:pPr>
        <w:pStyle w:val="TextBody"/>
        <w:bidi w:val="0"/>
        <w:spacing w:before="320" w:after="0"/>
        <w:jc w:val="left"/>
        <w:rPr>
          <w:rFonts w:ascii="arial" w:hAnsi="arial"/>
          <w:b/>
          <w:sz w:val="24"/>
        </w:rPr>
      </w:pPr>
      <w:r>
        <w:rPr>
          <w:rFonts w:ascii="arial" w:hAnsi="arial"/>
          <w:b/>
          <w:sz w:val="24"/>
        </w:rPr>
        <w:t xml:space="preserve">Common stock </w:t>
      </w:r>
    </w:p>
    <w:p>
      <w:pPr>
        <w:pStyle w:val="TextBody"/>
        <w:bidi w:val="0"/>
        <w:spacing w:before="160" w:after="0"/>
        <w:jc w:val="left"/>
        <w:rPr>
          <w:rFonts w:ascii="arial" w:hAnsi="arial"/>
          <w:b/>
          <w:i/>
          <w:sz w:val="20"/>
        </w:rPr>
      </w:pPr>
      <w:r>
        <w:rPr>
          <w:rFonts w:ascii="arial" w:hAnsi="arial"/>
          <w:b/>
          <w:i/>
          <w:sz w:val="20"/>
        </w:rPr>
        <w:t xml:space="preserve">Voting </w:t>
      </w:r>
    </w:p>
    <w:p>
      <w:pPr>
        <w:pStyle w:val="TextBody"/>
        <w:bidi w:val="0"/>
        <w:spacing w:before="160" w:after="0"/>
        <w:jc w:val="left"/>
        <w:rPr>
          <w:rFonts w:ascii="arial" w:hAnsi="arial"/>
          <w:sz w:val="20"/>
        </w:rPr>
      </w:pPr>
      <w:r>
        <w:rPr>
          <w:rFonts w:ascii="arial" w:hAnsi="arial"/>
          <w:sz w:val="20"/>
        </w:rPr>
        <w:t xml:space="preserve">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w:t>
      </w:r>
    </w:p>
    <w:p>
      <w:pPr>
        <w:pStyle w:val="TextBody"/>
        <w:bidi w:val="0"/>
        <w:spacing w:before="160" w:after="0"/>
        <w:jc w:val="left"/>
        <w:rPr>
          <w:rFonts w:ascii="arial" w:hAnsi="arial"/>
          <w:b/>
          <w:i/>
          <w:sz w:val="20"/>
        </w:rPr>
      </w:pPr>
      <w:r>
        <w:rPr>
          <w:rFonts w:ascii="arial" w:hAnsi="arial"/>
          <w:b/>
          <w:i/>
          <w:sz w:val="20"/>
        </w:rPr>
        <w:t xml:space="preserve">Dividends </w:t>
      </w:r>
    </w:p>
    <w:p>
      <w:pPr>
        <w:pStyle w:val="TextBody"/>
        <w:bidi w:val="0"/>
        <w:spacing w:before="160" w:after="0"/>
        <w:jc w:val="left"/>
        <w:rPr>
          <w:rFonts w:ascii="arial" w:hAnsi="arial"/>
          <w:sz w:val="20"/>
        </w:rPr>
      </w:pPr>
      <w:r>
        <w:rPr>
          <w:rFonts w:ascii="arial" w:hAnsi="arial"/>
          <w:sz w:val="20"/>
        </w:rPr>
        <w:t xml:space="preserve">Subject to preferences that may be applicable to any then-outstanding preferred stock, the holders of common stock are entitled to receive ratably dividends, if any, as may be declared from time to time by our board of directors out of legally available funds. See the section titled “Dividend policy” for further information. </w:t>
      </w:r>
    </w:p>
    <w:p>
      <w:pPr>
        <w:pStyle w:val="TextBody"/>
        <w:bidi w:val="0"/>
        <w:spacing w:before="160" w:after="0"/>
        <w:jc w:val="left"/>
        <w:rPr>
          <w:rFonts w:ascii="arial" w:hAnsi="arial"/>
          <w:b/>
          <w:i/>
          <w:sz w:val="20"/>
        </w:rPr>
      </w:pPr>
      <w:r>
        <w:rPr>
          <w:rFonts w:ascii="arial" w:hAnsi="arial"/>
          <w:b/>
          <w:i/>
          <w:sz w:val="20"/>
        </w:rPr>
        <w:t xml:space="preserve">Liquidation </w:t>
      </w:r>
    </w:p>
    <w:p>
      <w:pPr>
        <w:pStyle w:val="TextBody"/>
        <w:bidi w:val="0"/>
        <w:spacing w:before="160" w:after="0"/>
        <w:jc w:val="left"/>
        <w:rPr>
          <w:rFonts w:ascii="arial" w:hAnsi="arial"/>
          <w:sz w:val="20"/>
        </w:rPr>
      </w:pPr>
      <w:r>
        <w:rPr>
          <w:rFonts w:ascii="arial" w:hAnsi="arial"/>
          <w:sz w:val="20"/>
        </w:rPr>
        <w:t xml:space="preserve">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w:t>
      </w:r>
    </w:p>
    <w:p>
      <w:pPr>
        <w:pStyle w:val="TextBody"/>
        <w:bidi w:val="0"/>
        <w:spacing w:before="160" w:after="0"/>
        <w:jc w:val="left"/>
        <w:rPr>
          <w:rFonts w:ascii="arial" w:hAnsi="arial"/>
          <w:b/>
          <w:i/>
          <w:sz w:val="20"/>
        </w:rPr>
      </w:pPr>
      <w:r>
        <w:rPr>
          <w:rFonts w:ascii="arial" w:hAnsi="arial"/>
          <w:b/>
          <w:i/>
          <w:sz w:val="20"/>
        </w:rPr>
        <w:t xml:space="preserve">Rights, preferences and privileges </w:t>
      </w:r>
    </w:p>
    <w:p>
      <w:pPr>
        <w:pStyle w:val="TextBody"/>
        <w:bidi w:val="0"/>
        <w:spacing w:before="160" w:after="0"/>
        <w:jc w:val="left"/>
        <w:rPr>
          <w:rFonts w:ascii="arial" w:hAnsi="arial"/>
          <w:sz w:val="20"/>
        </w:rPr>
      </w:pPr>
      <w:r>
        <w:rPr>
          <w:rFonts w:ascii="arial" w:hAnsi="arial"/>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160" w:after="0"/>
        <w:jc w:val="left"/>
        <w:rPr>
          <w:rFonts w:ascii="arial" w:hAnsi="arial"/>
          <w:b/>
          <w:i/>
          <w:sz w:val="20"/>
        </w:rPr>
      </w:pPr>
      <w:r>
        <w:rPr>
          <w:rFonts w:ascii="arial" w:hAnsi="arial"/>
          <w:b/>
          <w:i/>
          <w:sz w:val="20"/>
        </w:rPr>
        <w:t xml:space="preserve">Fully paid and nonassessable </w:t>
      </w:r>
    </w:p>
    <w:p>
      <w:pPr>
        <w:pStyle w:val="TextBody"/>
        <w:bidi w:val="0"/>
        <w:spacing w:before="160" w:after="0"/>
        <w:jc w:val="left"/>
        <w:rPr>
          <w:rFonts w:ascii="arial" w:hAnsi="arial"/>
          <w:sz w:val="20"/>
        </w:rPr>
      </w:pPr>
      <w:r>
        <w:rPr>
          <w:rFonts w:ascii="arial" w:hAnsi="arial"/>
          <w:sz w:val="20"/>
        </w:rPr>
        <w:t xml:space="preserve">All of our outstanding shares of common stock are, and the shares of common stock to be issued in this offering will be, fully paid and nonassessable.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Preferred stock</w:t>
      </w:r>
    </w:p>
    <w:p>
      <w:pPr>
        <w:pStyle w:val="TextBody"/>
        <w:bidi w:val="0"/>
        <w:spacing w:before="160" w:after="0"/>
        <w:jc w:val="left"/>
        <w:rPr>
          <w:rFonts w:ascii="arial" w:hAnsi="arial"/>
          <w:sz w:val="20"/>
        </w:rPr>
      </w:pPr>
      <w:r>
        <w:rPr>
          <w:rFonts w:ascii="arial" w:hAnsi="arial"/>
          <w:sz w:val="20"/>
        </w:rPr>
        <w:t xml:space="preserve">As of December 31, 2025, there were 92,344,110 shares of convertible preferred stock outstanding and 488,831 shares of Founders Preferred Stock outstanding, held of record by 57 stockholders. All of the outstanding shares of convertible preferred stock will automatically convert into 39,313,815 shares of our common stock and all of the outstanding shares of Founders Preferred Stock will automatically convert into 488,831 shares of our common stock, each immediately prior to the closing of this offering. </w:t>
      </w:r>
    </w:p>
    <w:p>
      <w:pPr>
        <w:pStyle w:val="TextBody"/>
        <w:bidi w:val="0"/>
        <w:spacing w:before="160" w:after="0"/>
        <w:jc w:val="left"/>
        <w:rPr>
          <w:rFonts w:ascii="arial" w:hAnsi="arial"/>
          <w:sz w:val="20"/>
        </w:rPr>
      </w:pPr>
      <w:r>
        <w:rPr>
          <w:rFonts w:ascii="arial" w:hAnsi="arial"/>
          <w:sz w:val="20"/>
        </w:rPr>
        <w:t xml:space="preserve">Under our amended and restated certificate of incorporation that will become effective immediately prior to the closing of this offering, our board of directors will have the authority, without further action by the stockholders, to issue up to 20,000,000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60" w:after="0"/>
        <w:jc w:val="left"/>
        <w:rPr>
          <w:rFonts w:ascii="arial" w:hAnsi="arial"/>
          <w:sz w:val="20"/>
        </w:rPr>
      </w:pPr>
      <w:r>
        <w:rPr>
          <w:rFonts w:ascii="arial" w:hAnsi="arial"/>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 </w:t>
      </w:r>
    </w:p>
    <w:p>
      <w:pPr>
        <w:pStyle w:val="TextBody"/>
        <w:bidi w:val="0"/>
        <w:spacing w:before="320" w:after="0"/>
        <w:jc w:val="left"/>
        <w:rPr>
          <w:rFonts w:ascii="arial" w:hAnsi="arial"/>
          <w:b/>
          <w:sz w:val="24"/>
        </w:rPr>
      </w:pPr>
      <w:r>
        <w:rPr>
          <w:rFonts w:ascii="arial" w:hAnsi="arial"/>
          <w:b/>
          <w:sz w:val="24"/>
        </w:rPr>
        <w:t xml:space="preserve">Stock options </w:t>
      </w:r>
    </w:p>
    <w:p>
      <w:pPr>
        <w:pStyle w:val="TextBody"/>
        <w:bidi w:val="0"/>
        <w:spacing w:before="160" w:after="0"/>
        <w:jc w:val="left"/>
        <w:rPr>
          <w:rFonts w:ascii="arial" w:hAnsi="arial"/>
          <w:sz w:val="20"/>
        </w:rPr>
      </w:pPr>
      <w:r>
        <w:rPr>
          <w:rFonts w:ascii="arial" w:hAnsi="arial"/>
          <w:sz w:val="20"/>
        </w:rPr>
        <w:t xml:space="preserve">As of December 31, 2025, after giving effect to the Common Stock Redesignation (as if it had occurred as of December 31, 2025), there were (i) options to purchase 5,842,551 shares of common stock outstanding under our 2018 Plan, at a weighted-average exercise price of $3.18 per share and (ii) phantom options to purchase 20,253 shares of common stock issuable upon conversion of phantom shares outstanding under our Phantom Plan, at a weighted-average exercise price of $4.32 per share. For information regarding the terms of our equity incentive plans, see the section titled “Executive and director compensation—Equity benefit plans.” </w:t>
      </w:r>
    </w:p>
    <w:p>
      <w:pPr>
        <w:pStyle w:val="TextBody"/>
        <w:bidi w:val="0"/>
        <w:spacing w:before="320" w:after="0"/>
        <w:jc w:val="left"/>
        <w:rPr>
          <w:rFonts w:ascii="arial" w:hAnsi="arial"/>
          <w:b/>
          <w:sz w:val="24"/>
        </w:rPr>
      </w:pPr>
      <w:r>
        <w:rPr>
          <w:rFonts w:ascii="arial" w:hAnsi="arial"/>
          <w:b/>
          <w:sz w:val="24"/>
        </w:rPr>
        <w:t xml:space="preserve">Common Warrants </w:t>
      </w:r>
    </w:p>
    <w:p>
      <w:pPr>
        <w:pStyle w:val="TextBody"/>
        <w:bidi w:val="0"/>
        <w:spacing w:before="160" w:after="0"/>
        <w:jc w:val="left"/>
        <w:rPr>
          <w:rFonts w:ascii="arial" w:hAnsi="arial"/>
          <w:sz w:val="20"/>
        </w:rPr>
      </w:pPr>
      <w:r>
        <w:rPr>
          <w:rFonts w:ascii="arial" w:hAnsi="arial"/>
          <w:sz w:val="20"/>
        </w:rPr>
        <w:t xml:space="preserve">As of December 31, 2025, we had (i) a warrant to purchase 84,162 shares of Class B common stock at $3.34 per share issued to SVB in July 2024, expiring July 2034, and (ii) a warrant to purchase 28,685 shares of Class B common stock at $4.18 per share issued to SVB in September 2025, expiring September 2035 (together, the “Common Warrants”). </w:t>
      </w:r>
    </w:p>
    <w:p>
      <w:pPr>
        <w:pStyle w:val="TextBody"/>
        <w:bidi w:val="0"/>
        <w:spacing w:before="320" w:after="0"/>
        <w:jc w:val="left"/>
        <w:rPr>
          <w:rFonts w:ascii="arial" w:hAnsi="arial"/>
          <w:b/>
          <w:sz w:val="24"/>
        </w:rPr>
      </w:pPr>
      <w:r>
        <w:rPr>
          <w:rFonts w:ascii="arial" w:hAnsi="arial"/>
          <w:b/>
          <w:sz w:val="24"/>
        </w:rPr>
        <w:t xml:space="preserve">Series C Warrant </w:t>
      </w:r>
    </w:p>
    <w:p>
      <w:pPr>
        <w:pStyle w:val="TextBody"/>
        <w:bidi w:val="0"/>
        <w:spacing w:before="160" w:after="0"/>
        <w:jc w:val="left"/>
        <w:rPr>
          <w:rFonts w:ascii="arial" w:hAnsi="arial"/>
          <w:sz w:val="20"/>
        </w:rPr>
      </w:pPr>
      <w:r>
        <w:rPr>
          <w:rFonts w:ascii="arial" w:hAnsi="arial"/>
          <w:sz w:val="20"/>
        </w:rPr>
        <w:t xml:space="preserve">As of December 31, 2025, we had an outstanding warrant to purchase an aggregate of 75,567 shares of our Series C convertible preferred stock, with an exercise price of $2.9775 per share. The warrant was issued in June 2022 in connection with a credit facility with Hercules Capital. Upon the closing of this offering, the Series C Warrant will be automatically converted into a warrant to purchase 31,251 shares of our Class B common stock (to be subsequently redesignated as common stock), with an exercise price of $7.20 per share.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Convertible Notes </w:t>
      </w:r>
    </w:p>
    <w:p>
      <w:pPr>
        <w:pStyle w:val="TextBody"/>
        <w:bidi w:val="0"/>
        <w:spacing w:before="160" w:after="0"/>
        <w:jc w:val="left"/>
        <w:rPr>
          <w:rFonts w:ascii="arial" w:hAnsi="arial"/>
          <w:sz w:val="20"/>
        </w:rPr>
      </w:pPr>
      <w:r>
        <w:rPr>
          <w:rFonts w:ascii="arial" w:hAnsi="arial"/>
          <w:sz w:val="20"/>
        </w:rPr>
        <w:t xml:space="preserve">On January 8, 2026, we issued unsecured convertible loan notes to certain investors in an aggregate principal amount of $56.5 million. The Convertible Notes mature 18 months from the initial issuance of the notes, if not earlier converted, and, after July 31, 2026, will accrue simple interest on a daily basis at 8% per annum. Upon the closing of this offering, the Convertible Notes and any accrued but unpaid interest will automatically convert into shares of our common stock at a price per share equal to 85% of the lowest price per share for common stock sold in this offering. Based on the initial public offering price of $17.00 per share, the Convertible Notes will automatically convert into an aggregate of 3,910,025 shares of our common stock upon the closing of this offering without interest.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Upon the closing of this offering and subject to the lock-up agreements entered into in connection with this offering and federal securities laws, certain holders of shares of our common stock, including those shares of common stock that will be issued upon the conversion of our convertible preferred stock and our Class A common stock in connection with this offering, and shares issuable upon exercise of the Series C Warrant, will initially be entitled to certain rights with respect to registration of such shares under the Securities Act. These shares are referred to as registrable securities. The holders of these registrable securities possess registration rights pursuant to the terms of an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 </w:t>
      </w:r>
    </w:p>
    <w:p>
      <w:pPr>
        <w:pStyle w:val="TextBody"/>
        <w:bidi w:val="0"/>
        <w:spacing w:before="160" w:after="0"/>
        <w:jc w:val="left"/>
        <w:rPr>
          <w:rFonts w:ascii="arial" w:hAnsi="arial"/>
          <w:sz w:val="20"/>
        </w:rPr>
      </w:pPr>
      <w:r>
        <w:rPr>
          <w:rFonts w:ascii="arial" w:hAnsi="arial"/>
          <w:sz w:val="20"/>
        </w:rPr>
        <w:t xml:space="preserve">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 </w:t>
      </w:r>
    </w:p>
    <w:p>
      <w:pPr>
        <w:pStyle w:val="TextBody"/>
        <w:bidi w:val="0"/>
        <w:spacing w:before="160" w:after="0"/>
        <w:jc w:val="left"/>
        <w:rPr>
          <w:rFonts w:ascii="arial" w:hAnsi="arial"/>
          <w:b/>
          <w:i/>
          <w:sz w:val="20"/>
        </w:rPr>
      </w:pPr>
      <w:r>
        <w:rPr>
          <w:rFonts w:ascii="arial" w:hAnsi="arial"/>
          <w:b/>
          <w:i/>
          <w:sz w:val="20"/>
        </w:rPr>
        <w:t xml:space="preserve">Demand registration rights </w:t>
      </w:r>
    </w:p>
    <w:p>
      <w:pPr>
        <w:pStyle w:val="TextBody"/>
        <w:bidi w:val="0"/>
        <w:spacing w:before="160" w:after="0"/>
        <w:jc w:val="left"/>
        <w:rPr>
          <w:rFonts w:ascii="arial" w:hAnsi="arial"/>
          <w:sz w:val="20"/>
        </w:rPr>
      </w:pPr>
      <w:r>
        <w:rPr>
          <w:rFonts w:ascii="arial" w:hAnsi="arial"/>
          <w:sz w:val="20"/>
        </w:rPr>
        <w:t xml:space="preserve">Upon the closing of this offering, holders of an aggregate of 39,313,815 shares of our common stock will be entitled to certain demand registration rights. At any time beginning six months after the closing of this offering, the holders of 25% of these shares may request that we register all or a portion of their shares. We are not required to effect more than two registration statements that are declared or ordered effective. Such request for registration must cover shares with an anticipated aggregate offering price of at least $15 million. With certain exceptions, we are not required to effect the filing of a registration statement during the period starting on the date 60 days prior to our good faith estimate of the date of the filing of, and ending on a date 180 days following the effective date of, the registration statement for this offering. </w:t>
      </w:r>
    </w:p>
    <w:p>
      <w:pPr>
        <w:pStyle w:val="TextBody"/>
        <w:bidi w:val="0"/>
        <w:spacing w:before="160" w:after="0"/>
        <w:jc w:val="left"/>
        <w:rPr>
          <w:rFonts w:ascii="arial" w:hAnsi="arial"/>
          <w:b/>
          <w:i/>
          <w:sz w:val="20"/>
        </w:rPr>
      </w:pPr>
      <w:r>
        <w:rPr>
          <w:rFonts w:ascii="arial" w:hAnsi="arial"/>
          <w:b/>
          <w:i/>
          <w:sz w:val="20"/>
        </w:rPr>
        <w:t xml:space="preserve">Piggyback registration rights </w:t>
      </w:r>
    </w:p>
    <w:p>
      <w:pPr>
        <w:pStyle w:val="TextBody"/>
        <w:bidi w:val="0"/>
        <w:spacing w:before="160" w:after="0"/>
        <w:jc w:val="left"/>
        <w:rPr>
          <w:rFonts w:ascii="arial" w:hAnsi="arial"/>
          <w:sz w:val="20"/>
        </w:rPr>
      </w:pPr>
      <w:r>
        <w:rPr>
          <w:rFonts w:ascii="arial" w:hAnsi="arial"/>
          <w:sz w:val="20"/>
        </w:rPr>
        <w:t xml:space="preserve">In connection with this offering, the holders of an aggregate of 39,313,815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Form S-3 registration rights </w:t>
      </w:r>
    </w:p>
    <w:p>
      <w:pPr>
        <w:pStyle w:val="TextBody"/>
        <w:bidi w:val="0"/>
        <w:spacing w:before="160" w:after="0"/>
        <w:jc w:val="left"/>
        <w:rPr>
          <w:rFonts w:ascii="arial" w:hAnsi="arial"/>
          <w:sz w:val="20"/>
        </w:rPr>
      </w:pPr>
      <w:r>
        <w:rPr>
          <w:rFonts w:ascii="arial" w:hAnsi="arial"/>
          <w:sz w:val="20"/>
        </w:rPr>
        <w:t xml:space="preserve">Upon the closing of this offering, holders of an aggregate of 39,313,815 shares of our common stock will be entitled to certain Form S-3 registration rights. Holders of 30% of these shares can make a request that we register their shares on Form S-3 if we are qualified to file a registration statement on Form S-3 and if the reasonably anticipated aggregate net proceeds of the shares offered would equal or exceed $10 million. We will not be required to effect more than two registrations on Form S-3 within any 12-month period. </w:t>
      </w:r>
    </w:p>
    <w:p>
      <w:pPr>
        <w:pStyle w:val="TextBody"/>
        <w:bidi w:val="0"/>
        <w:spacing w:before="320" w:after="0"/>
        <w:jc w:val="left"/>
        <w:rPr>
          <w:rFonts w:ascii="arial" w:hAnsi="arial"/>
          <w:b/>
          <w:sz w:val="24"/>
        </w:rPr>
      </w:pPr>
      <w:r>
        <w:rPr>
          <w:rFonts w:ascii="arial" w:hAnsi="arial"/>
          <w:b/>
          <w:sz w:val="24"/>
        </w:rPr>
        <w:t xml:space="preserve">Anti-takeover effects of provisions of our amended and restated certificate of incorporation, our amended and restated bylaws and Delaware law </w:t>
      </w:r>
    </w:p>
    <w:p>
      <w:pPr>
        <w:pStyle w:val="TextBody"/>
        <w:bidi w:val="0"/>
        <w:spacing w:before="160" w:after="0"/>
        <w:jc w:val="left"/>
        <w:rPr>
          <w:rFonts w:ascii="arial" w:hAnsi="arial"/>
          <w:b/>
          <w:i/>
          <w:sz w:val="20"/>
        </w:rPr>
      </w:pPr>
      <w:r>
        <w:rPr>
          <w:rFonts w:ascii="arial" w:hAnsi="arial"/>
          <w:b/>
          <w:i/>
          <w:sz w:val="20"/>
        </w:rPr>
        <w:t xml:space="preserve">Section 203 of the Delaware General Corporation Law </w:t>
      </w:r>
    </w:p>
    <w:p>
      <w:pPr>
        <w:pStyle w:val="TextBody"/>
        <w:bidi w:val="0"/>
        <w:spacing w:before="160" w:after="0"/>
        <w:jc w:val="left"/>
        <w:rPr>
          <w:rFonts w:ascii="arial" w:hAnsi="arial"/>
          <w:sz w:val="20"/>
        </w:rPr>
      </w:pPr>
      <w:r>
        <w:rPr>
          <w:rFonts w:ascii="arial" w:hAnsi="arial"/>
          <w:sz w:val="20"/>
        </w:rPr>
        <w:t xml:space="preserve">We are subject to Section 203 of the DGCL. Section 203 generally prohibits a public Delaware corporation from engaging in a “business combination” with an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160" w:after="0"/>
        <w:jc w:val="left"/>
        <w:rPr>
          <w:rFonts w:ascii="arial" w:hAnsi="arial"/>
          <w:sz w:val="20"/>
        </w:rPr>
      </w:pPr>
      <w:r>
        <w:rPr>
          <w:rFonts w:ascii="arial" w:hAnsi="arial"/>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subject to certain exceptions, 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transaction involving the corporation or any direct or indirect majority-owned subsidiary of the corporation that has the effect, directly or indirectly,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receipt by the interested stockholder of the benefit, directly or indirectly, of any loans, advances, guarantees, pledges, or other financial benefits by or through the corporation. </w:t>
            </w:r>
          </w:p>
        </w:tc>
      </w:tr>
    </w:tbl>
    <w:p>
      <w:pPr>
        <w:pStyle w:val="TextBody"/>
        <w:bidi w:val="0"/>
        <w:spacing w:before="160" w:after="0"/>
        <w:jc w:val="left"/>
        <w:rPr>
          <w:rFonts w:ascii="arial" w:hAnsi="arial"/>
          <w:sz w:val="20"/>
        </w:rPr>
      </w:pPr>
      <w:r>
        <w:rPr>
          <w:rFonts w:ascii="arial" w:hAnsi="arial"/>
          <w:sz w:val="20"/>
        </w:rPr>
        <w:t xml:space="preserve">In general, Section 203 defines an “interested stockholder” as any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Amended and restated certificate of incorporation and amended and restated bylaws </w:t>
      </w:r>
    </w:p>
    <w:p>
      <w:pPr>
        <w:pStyle w:val="TextBody"/>
        <w:bidi w:val="0"/>
        <w:spacing w:before="160" w:after="0"/>
        <w:jc w:val="left"/>
        <w:rPr>
          <w:rFonts w:ascii="arial" w:hAnsi="arial"/>
          <w:sz w:val="20"/>
        </w:rPr>
      </w:pPr>
      <w:r>
        <w:rPr>
          <w:rFonts w:ascii="arial" w:hAnsi="arial"/>
          <w:sz w:val="20"/>
        </w:rPr>
        <w:t xml:space="preserve">Provisions of our amended and restated certificate of incorporation and amended and restated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permit our board of directors to issue, without further action by the stockholders, up to 20,000,000 shares of preferred stock, with any rights, preferences and privileges as they may designate (including the right to approve an acquisition or other change in our control) that may be senior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the authorized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common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divide our board of directors into three classes with each class serving three-year staggard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require that any action to be taken by our stockholders must be effected at a duly called annual or special meeting of stockholders and not be taken by written consent or electronic transmission;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stockholders seeking to present proposals before a meeting of stockholders or to nominate candidates for election as directors at a meeting of stockholders must provide advance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 not provide for cumulative voting rights (therefore allowing the holders of a majority of the shares of common stock entitled to vote in any election of directors to elect all of the directors standing for election, if they should so choose);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special meetings of our stockholders may be called only by the chair of the board, our Chief Executive Officer or by the board of directors pursuant to a resolution adopted by a majority of the total number of authorized directors. </w:t>
            </w:r>
          </w:p>
        </w:tc>
      </w:tr>
    </w:tbl>
    <w:p>
      <w:pPr>
        <w:pStyle w:val="TextBody"/>
        <w:bidi w:val="0"/>
        <w:spacing w:before="320" w:after="0"/>
        <w:jc w:val="left"/>
        <w:rPr>
          <w:rFonts w:ascii="arial" w:hAnsi="arial"/>
          <w:b/>
          <w:sz w:val="24"/>
        </w:rPr>
      </w:pPr>
      <w:r>
        <w:rPr>
          <w:rFonts w:ascii="arial" w:hAnsi="arial"/>
          <w:b/>
          <w:sz w:val="24"/>
        </w:rPr>
        <w:t xml:space="preserve">Limitations on liability and indemnification </w:t>
      </w:r>
    </w:p>
    <w:p>
      <w:pPr>
        <w:pStyle w:val="TextBody"/>
        <w:bidi w:val="0"/>
        <w:spacing w:before="160" w:after="0"/>
        <w:jc w:val="left"/>
        <w:rPr>
          <w:rFonts w:ascii="arial" w:hAnsi="arial"/>
          <w:sz w:val="20"/>
        </w:rPr>
      </w:pPr>
      <w:r>
        <w:rPr>
          <w:rFonts w:ascii="arial" w:hAnsi="arial"/>
          <w:sz w:val="20"/>
        </w:rPr>
        <w:t xml:space="preserve">See the section titled “Executive and director compensation—Limitations of liability and indemnification matters.” </w:t>
      </w:r>
    </w:p>
    <w:p>
      <w:pPr>
        <w:pStyle w:val="TextBody"/>
        <w:bidi w:val="0"/>
        <w:spacing w:before="320" w:after="0"/>
        <w:jc w:val="left"/>
        <w:rPr>
          <w:rFonts w:ascii="arial" w:hAnsi="arial"/>
          <w:b/>
          <w:sz w:val="24"/>
        </w:rPr>
      </w:pPr>
      <w:r>
        <w:rPr>
          <w:rFonts w:ascii="arial" w:hAnsi="arial"/>
          <w:b/>
          <w:sz w:val="24"/>
        </w:rPr>
        <w:t xml:space="preserve">Exchange listing </w:t>
      </w:r>
    </w:p>
    <w:p>
      <w:pPr>
        <w:pStyle w:val="TextBody"/>
        <w:bidi w:val="0"/>
        <w:spacing w:before="160" w:after="0"/>
        <w:jc w:val="left"/>
        <w:rPr>
          <w:rFonts w:ascii="arial" w:hAnsi="arial"/>
          <w:sz w:val="20"/>
        </w:rPr>
      </w:pPr>
      <w:r>
        <w:rPr>
          <w:rFonts w:ascii="arial" w:hAnsi="arial"/>
          <w:sz w:val="20"/>
        </w:rPr>
        <w:t xml:space="preserve">Our common stock has been approved for listing on Nasdaq under the symbol “ALMR”.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Transfer agent and registrar </w:t>
      </w:r>
    </w:p>
    <w:p>
      <w:pPr>
        <w:pStyle w:val="TextBody"/>
        <w:bidi w:val="0"/>
        <w:spacing w:before="160" w:after="0"/>
        <w:jc w:val="left"/>
        <w:rPr>
          <w:rFonts w:ascii="arial" w:hAnsi="arial"/>
          <w:sz w:val="20"/>
        </w:rPr>
      </w:pPr>
      <w:r>
        <w:rPr>
          <w:rFonts w:ascii="arial" w:hAnsi="arial"/>
          <w:sz w:val="20"/>
        </w:rPr>
        <w:t xml:space="preserve">The transfer agent and registrar for our common stock immediately prior to the closing of this offering will be Computershare Trust Company, N.A. The transfer agent and registrar’s address is 150 Royall Street, Canton, Massachusetts 02021, and its telephone number is (781) 575-2000.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1" w:name="toc39680_16"/>
      <w:bookmarkEnd w:id="21"/>
      <w:r>
        <w:rPr>
          <w:rFonts w:ascii="arial" w:hAnsi="arial"/>
          <w:b/>
          <w:sz w:val="32"/>
        </w:rPr>
        <w:t xml:space="preserve">Shares eligible for future sale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Future sales of substantial amounts of common stock in the public market, or the perception that such sales may occur, could adversely affect the market price of our common stock.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 </w:t>
      </w:r>
    </w:p>
    <w:p>
      <w:pPr>
        <w:pStyle w:val="TextBody"/>
        <w:bidi w:val="0"/>
        <w:spacing w:before="160" w:after="0"/>
        <w:jc w:val="left"/>
        <w:rPr>
          <w:rFonts w:ascii="arial" w:hAnsi="arial"/>
          <w:sz w:val="20"/>
        </w:rPr>
      </w:pPr>
      <w:r>
        <w:rPr>
          <w:rFonts w:ascii="arial" w:hAnsi="arial"/>
          <w:sz w:val="20"/>
        </w:rPr>
        <w:t xml:space="preserve">Following the closing of this offering, based on the number of shares of our common stock (including shares of our common stock subject to repurchase or vesting) outstanding as of December 31, 2025 and assuming (i) the issuance of 11,250,000 shares of common stock in this offering, (ii) the Preferred Stock Conversion, the Founders Preferred Stock Conversion, the Class A Conversion, the Common Stock Redesignation and the Convertible Notes Conversion (as if each had occurred as of December 31, 2025) and (iii) no exercise of the underwriters’ option to purchase additional shares, we will have an aggregate of approximately 66,521,425 shares of common stock outstanding. </w:t>
      </w:r>
    </w:p>
    <w:p>
      <w:pPr>
        <w:pStyle w:val="TextBody"/>
        <w:bidi w:val="0"/>
        <w:spacing w:before="160" w:after="0"/>
        <w:jc w:val="left"/>
        <w:rPr>
          <w:rFonts w:ascii="arial" w:hAnsi="arial"/>
          <w:sz w:val="20"/>
        </w:rPr>
      </w:pPr>
      <w:r>
        <w:rPr>
          <w:rFonts w:ascii="arial" w:hAnsi="arial"/>
          <w:sz w:val="20"/>
        </w:rPr>
        <w:t xml:space="preserve">Of these shares, all shares of common stock sold in this offering will be freely tradable without restriction or further registration under the Securities Act, except for any shares of common stock purchased by our “affiliates,” as that term is defined in Rule 144 under the Securities Act (“Rule 144”) or any shares subject to lock-up agreements. Shares purchased by our affiliates would be subject to the Rule 144 resale restrictions described below, other than the holding period requirement. </w:t>
      </w:r>
    </w:p>
    <w:p>
      <w:pPr>
        <w:pStyle w:val="TextBody"/>
        <w:bidi w:val="0"/>
        <w:spacing w:before="160" w:after="0"/>
        <w:jc w:val="left"/>
        <w:rPr>
          <w:rFonts w:ascii="arial" w:hAnsi="arial"/>
          <w:sz w:val="20"/>
        </w:rPr>
      </w:pPr>
      <w:r>
        <w:rPr>
          <w:rFonts w:ascii="arial" w:hAnsi="arial"/>
          <w:sz w:val="20"/>
        </w:rPr>
        <w:t xml:space="preserve">The remaining shares of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(“Rule 701”), each of which is summarized below and, if subject to lock-up agreements, may only be sold after the expiration of the 180-day lock-up period. We expect that substantially all of these shares will be subject to a 180-day lock-up period under the lock-up and market stand-off agreements described below. </w:t>
      </w:r>
    </w:p>
    <w:p>
      <w:pPr>
        <w:pStyle w:val="TextBody"/>
        <w:bidi w:val="0"/>
        <w:spacing w:before="160" w:after="0"/>
        <w:jc w:val="left"/>
        <w:rPr>
          <w:rFonts w:ascii="arial" w:hAnsi="arial"/>
          <w:sz w:val="20"/>
        </w:rPr>
      </w:pPr>
      <w:r>
        <w:rPr>
          <w:rFonts w:ascii="arial" w:hAnsi="arial"/>
          <w:sz w:val="20"/>
        </w:rPr>
        <w:t xml:space="preserve">We may issue shares of common stock from time to time as consideration for future acquisitions, investments or other corporate purposes. In the event any such acquisition, investment or other transaction is significant, the number of shares of common stock that we may issue may also be significant. We may also grant registration rights covering those shares of common stock issued in connection with any such acquisition, investment or other transaction. </w:t>
      </w:r>
    </w:p>
    <w:p>
      <w:pPr>
        <w:pStyle w:val="TextBody"/>
        <w:bidi w:val="0"/>
        <w:spacing w:before="160" w:after="0"/>
        <w:jc w:val="left"/>
        <w:rPr>
          <w:rFonts w:ascii="arial" w:hAnsi="arial"/>
          <w:sz w:val="20"/>
        </w:rPr>
      </w:pPr>
      <w:r>
        <w:rPr>
          <w:rFonts w:ascii="arial" w:hAnsi="arial"/>
          <w:sz w:val="20"/>
        </w:rPr>
        <w:t xml:space="preserve">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described below and Rules 144 and 701 under the Securities Act. </w:t>
      </w:r>
    </w:p>
    <w:p>
      <w:pPr>
        <w:pStyle w:val="TextBody"/>
        <w:bidi w:val="0"/>
        <w:spacing w:before="320" w:after="0"/>
        <w:jc w:val="left"/>
        <w:rPr>
          <w:rFonts w:ascii="arial" w:hAnsi="arial"/>
          <w:b/>
          <w:sz w:val="24"/>
        </w:rPr>
      </w:pPr>
      <w:r>
        <w:rPr>
          <w:rFonts w:ascii="arial" w:hAnsi="arial"/>
          <w:b/>
          <w:sz w:val="24"/>
        </w:rPr>
        <w:t xml:space="preserve">Rule 144 </w:t>
      </w:r>
    </w:p>
    <w:p>
      <w:pPr>
        <w:pStyle w:val="TextBody"/>
        <w:bidi w:val="0"/>
        <w:spacing w:before="160" w:after="0"/>
        <w:jc w:val="left"/>
        <w:rPr>
          <w:rFonts w:ascii="arial" w:hAnsi="arial"/>
          <w:sz w:val="20"/>
        </w:rPr>
      </w:pPr>
      <w:r>
        <w:rPr>
          <w:rFonts w:ascii="arial" w:hAnsi="arial"/>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160" w:after="0"/>
        <w:jc w:val="left"/>
        <w:rPr>
          <w:rFonts w:ascii="arial" w:hAnsi="arial"/>
          <w:sz w:val="20"/>
        </w:rPr>
      </w:pPr>
      <w:r>
        <w:rPr>
          <w:rFonts w:ascii="arial" w:hAnsi="arial"/>
          <w:sz w:val="20"/>
        </w:rPr>
        <w:t xml:space="preserve">In general, under Rule 144, as currently in effect, our affiliates or persons selling shares on behalf of our affiliates will be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1% of the number of shares of our common stock then outstanding, which will equal approximately 665,214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average weekly trading volume in our common stock on Nasdaq during the four calendar weeks preceding the filing of a notice on Form 144 with respect to such sale, provided in each case that we have been subject to the Exchange Act periodic reporting requirements for at least 90 days before the sale. </w:t>
            </w:r>
          </w:p>
        </w:tc>
      </w:tr>
    </w:tbl>
    <w:p>
      <w:pPr>
        <w:pStyle w:val="TextBody"/>
        <w:bidi w:val="0"/>
        <w:spacing w:before="160" w:after="0"/>
        <w:jc w:val="left"/>
        <w:rPr>
          <w:rFonts w:ascii="arial" w:hAnsi="arial"/>
          <w:sz w:val="20"/>
        </w:rPr>
      </w:pPr>
      <w:r>
        <w:rPr>
          <w:rFonts w:ascii="arial" w:hAnsi="arial"/>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320" w:after="0"/>
        <w:jc w:val="left"/>
        <w:rPr>
          <w:rFonts w:ascii="arial" w:hAnsi="arial"/>
          <w:b/>
          <w:sz w:val="24"/>
        </w:rPr>
      </w:pPr>
      <w:r>
        <w:rPr>
          <w:rFonts w:ascii="arial" w:hAnsi="arial"/>
          <w:b/>
          <w:sz w:val="24"/>
        </w:rPr>
        <w:t xml:space="preserve">Rule 701 </w:t>
      </w:r>
    </w:p>
    <w:p>
      <w:pPr>
        <w:pStyle w:val="TextBody"/>
        <w:bidi w:val="0"/>
        <w:spacing w:before="160" w:after="0"/>
        <w:jc w:val="left"/>
        <w:rPr>
          <w:rFonts w:ascii="arial" w:hAnsi="arial"/>
          <w:sz w:val="20"/>
        </w:rPr>
      </w:pPr>
      <w:r>
        <w:rPr>
          <w:rFonts w:ascii="arial" w:hAnsi="arial"/>
          <w:sz w:val="20"/>
        </w:rPr>
        <w:t xml:space="preserve">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and in the section titled “Underwriting.” </w:t>
      </w:r>
    </w:p>
    <w:p>
      <w:pPr>
        <w:pStyle w:val="TextBody"/>
        <w:bidi w:val="0"/>
        <w:spacing w:before="320" w:after="0"/>
        <w:jc w:val="left"/>
        <w:rPr>
          <w:rFonts w:ascii="arial" w:hAnsi="arial"/>
          <w:b/>
          <w:sz w:val="24"/>
        </w:rPr>
      </w:pPr>
      <w:r>
        <w:rPr>
          <w:rFonts w:ascii="arial" w:hAnsi="arial"/>
          <w:b/>
          <w:sz w:val="24"/>
        </w:rPr>
        <w:t xml:space="preserve">Form S-8 registration statements </w:t>
      </w:r>
    </w:p>
    <w:p>
      <w:pPr>
        <w:pStyle w:val="TextBody"/>
        <w:bidi w:val="0"/>
        <w:spacing w:before="160" w:after="0"/>
        <w:jc w:val="left"/>
        <w:rPr>
          <w:rFonts w:ascii="arial" w:hAnsi="arial"/>
          <w:sz w:val="20"/>
        </w:rPr>
      </w:pPr>
      <w:r>
        <w:rPr>
          <w:rFonts w:ascii="arial" w:hAnsi="arial"/>
          <w:sz w:val="20"/>
        </w:rPr>
        <w:t xml:space="preserve">We intend to file one or more registration statements on Form S-8 under the Securities Act to register all shares of common stock subject to outstanding stock options and common stock issued or issuable under the 2018 Plan, the 2026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320" w:after="0"/>
        <w:jc w:val="left"/>
        <w:rPr>
          <w:rFonts w:ascii="arial" w:hAnsi="arial"/>
          <w:b/>
          <w:sz w:val="24"/>
        </w:rPr>
      </w:pPr>
      <w:r>
        <w:rPr>
          <w:rFonts w:ascii="arial" w:hAnsi="arial"/>
          <w:b/>
          <w:sz w:val="24"/>
        </w:rPr>
        <w:t xml:space="preserve">Lock-up agreements </w:t>
      </w:r>
    </w:p>
    <w:p>
      <w:pPr>
        <w:pStyle w:val="TextBody"/>
        <w:bidi w:val="0"/>
        <w:spacing w:before="160" w:after="0"/>
        <w:jc w:val="left"/>
        <w:rPr>
          <w:rFonts w:ascii="arial" w:hAnsi="arial"/>
          <w:sz w:val="20"/>
        </w:rPr>
      </w:pPr>
      <w:r>
        <w:rPr>
          <w:rFonts w:ascii="arial" w:hAnsi="arial"/>
          <w:sz w:val="20"/>
        </w:rPr>
        <w:t xml:space="preserve">We, our directors, executive officers and the holders of substantially all of our equity securities, have agreed with the underwriters that for a period of 180 days after the date of this prospectus, subject to specified exceptions as detailed further in the section titled “Underwriting,” we or they will not, except with the prior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written consent of J.P. Morgan Securities LLC and BofA Securities, Inc.,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Substantially all of our optionholders are subject to a market stand-off agreement with us which imposes similar restrictions. </w:t>
      </w:r>
    </w:p>
    <w:p>
      <w:pPr>
        <w:pStyle w:val="TextBody"/>
        <w:bidi w:val="0"/>
        <w:spacing w:before="160" w:after="0"/>
        <w:jc w:val="left"/>
        <w:rPr>
          <w:rFonts w:ascii="arial" w:hAnsi="arial"/>
          <w:sz w:val="20"/>
        </w:rPr>
      </w:pPr>
      <w:r>
        <w:rPr>
          <w:rFonts w:ascii="arial" w:hAnsi="arial"/>
          <w:sz w:val="20"/>
        </w:rPr>
        <w:t xml:space="preserve">Upon expiration of the lock-up period, certain of our stockholders will have the right to require us to register their shares under the Securities Act. See the sections titled “—Registration rights” below and “Description of capital stock—Registration rights.” </w:t>
      </w:r>
    </w:p>
    <w:p>
      <w:pPr>
        <w:pStyle w:val="TextBody"/>
        <w:bidi w:val="0"/>
        <w:spacing w:before="160" w:after="0"/>
        <w:jc w:val="left"/>
        <w:rPr>
          <w:rFonts w:ascii="arial" w:hAnsi="arial"/>
          <w:sz w:val="20"/>
        </w:rPr>
      </w:pPr>
      <w:r>
        <w:rPr>
          <w:rFonts w:ascii="arial" w:hAnsi="arial"/>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Upon the closing of this offering and subject to the lock-up agreements entered into in connection with this offering and federal securities laws, holders of an aggregate of 39,313,815 shares of our common stock, which includes all of the shares of common stock that will be issued upon the conversion of our Class A common stock and convertible preferred stock in connection with this offering, and shares issuable upon exercise of the Series C Warrant, will initially be entitled to certain rights with respect to registration of such shares under the Securities Act. Registration of these shares under the Securities Act would result in these shares becoming fully tradable without restriction under the Securities Act immediately upon the effectiveness of the registration, except for shares subsequently purchased by affiliates. See the section titled “Description of capital stock—Registration rights” for additional information. </w:t>
      </w:r>
    </w:p>
    <w:p>
      <w:pPr>
        <w:pStyle w:val="TextBody"/>
        <w:bidi w:val="0"/>
        <w:spacing w:before="160" w:after="0"/>
        <w:jc w:val="left"/>
        <w:rPr>
          <w:rFonts w:ascii="arial" w:hAnsi="arial"/>
          <w:sz w:val="20"/>
        </w:rPr>
      </w:pPr>
      <w:r>
        <w:rPr>
          <w:rFonts w:ascii="arial" w:hAnsi="arial"/>
          <w:sz w:val="20"/>
        </w:rPr>
        <w:t xml:space="preserve">After to the closing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2" w:name="toc39680_17"/>
      <w:bookmarkEnd w:id="22"/>
      <w:r>
        <w:rPr>
          <w:rFonts w:ascii="arial" w:hAnsi="arial"/>
          <w:b/>
          <w:sz w:val="32"/>
        </w:rPr>
        <w:t xml:space="preserve">Material U.S. federal income tax consequences to non-U.S. holders </w:t>
      </w:r>
    </w:p>
    <w:p>
      <w:pPr>
        <w:pStyle w:val="TextBody"/>
        <w:bidi w:val="0"/>
        <w:spacing w:before="160" w:after="0"/>
        <w:jc w:val="left"/>
        <w:rPr>
          <w:rFonts w:ascii="arial" w:hAnsi="arial"/>
          <w:sz w:val="20"/>
        </w:rPr>
      </w:pPr>
      <w:r>
        <w:rPr>
          <w:rFonts w:ascii="arial" w:hAnsi="arial"/>
          <w:sz w:val="20"/>
        </w:rPr>
        <w:t xml:space="preserve">The following summary describes the material U.S. federal income tax consequences of the ownership and disposition of our common stock acquired in this offering by Non-U.S. Holders (as defined below). This discussion does not address all aspects of U.S. federal income taxes, does not discuss the potential application of any alternative minimum tax, the special tax accounting rules under Section 451(b) of the Internal Revenue Code of 1986, as amended (the “Code”), or the Medicare contribution tax on net investment income, and does not deal with state or local taxes, U.S. federal gift or estate tax laws, or any non-U.S. tax consequences that may be relevant to Non-U.S. Holders in light of their particular circumstances. </w:t>
      </w:r>
    </w:p>
    <w:p>
      <w:pPr>
        <w:pStyle w:val="TextBody"/>
        <w:bidi w:val="0"/>
        <w:spacing w:before="160" w:after="0"/>
        <w:jc w:val="left"/>
        <w:rPr>
          <w:rFonts w:ascii="arial" w:hAnsi="arial"/>
          <w:sz w:val="20"/>
        </w:rPr>
      </w:pPr>
      <w:r>
        <w:rPr>
          <w:rFonts w:ascii="arial" w:hAnsi="arial"/>
          <w:sz w:val="20"/>
        </w:rPr>
        <w:t xml:space="preserve">This discussion is limited to Non-U.S. Holders that purchase our common stock pursuant to this offering and that hold our common stock as a “capital asset” within the meaning of Section 1221 of the Code (generally, property held for investment). Special rules different from those described below may apply to certain Non-U.S. Holders that are subject to special treatment under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w:t>
            </w:r>
            <w:r>
              <w:rPr>
                <w:rFonts w:ascii="arial" w:hAnsi="arial"/>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non-U.S.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persons that own, or are deemed to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that hold our indebtedness that is repaid or converted into shares of our common stock in connection with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t>“</w:t>
            </w:r>
            <w:r>
              <w:rPr>
                <w:rFonts w:ascii="arial" w:hAnsi="arial"/>
                <w:sz w:val="20"/>
              </w:rPr>
              <w:t xml:space="preserve">controlled foreign corporations,” as defined in Section 957 of the Code, “foreign controlled foreign corporations,” as defined in Section 951B of the Code, “passive foreign investment companies,” as defined in Section 1297 of the Code,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corporations organized outside of the United States, any state thereof, or the District of Columbia that are nonetheless treated as U.S. taxpayers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that hold our common stock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hold or receive our common stock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partnerships and other pass-through entities or arrangements, and investors therein (regardless of their places of organization or formation). </w:t>
            </w:r>
          </w:p>
        </w:tc>
      </w:tr>
    </w:tbl>
    <w:p>
      <w:pPr>
        <w:pStyle w:val="TextBody"/>
        <w:bidi w:val="0"/>
        <w:spacing w:before="160" w:after="0"/>
        <w:jc w:val="left"/>
        <w:rPr>
          <w:rFonts w:ascii="arial" w:hAnsi="arial"/>
          <w:sz w:val="20"/>
        </w:rPr>
      </w:pPr>
      <w:r>
        <w:rPr>
          <w:rFonts w:ascii="arial" w:hAnsi="arial"/>
          <w:sz w:val="20"/>
        </w:rPr>
        <w:t xml:space="preserve">Such Non-U.S. Holders subject to special treatment under the Code are urged to consult their own tax advisors to determine the U.S. federal, state, local, and other tax consequences that may be relevant to them of the ownership and disposition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Furthermore, the discussion below is based upon the provisions of the Code, U.S. Treasury regulations promulgated thereunder (“Treasury Regulations”), judicial decisions, published rulings and administrative pronouncements of the Internal Revenue Service (the “IRS”), all as in effect on the date of this prospectus. These authorities may be repealed, revoked, or modified, possibly retroactively, and are subject to differing interpretations that could result in U.S. federal income tax consequences different from those discussed below.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 </w:t>
      </w:r>
    </w:p>
    <w:p>
      <w:pPr>
        <w:pStyle w:val="TextBody"/>
        <w:bidi w:val="0"/>
        <w:spacing w:before="160" w:after="0"/>
        <w:jc w:val="left"/>
        <w:rPr>
          <w:rFonts w:ascii="arial" w:hAnsi="arial"/>
          <w:sz w:val="20"/>
        </w:rPr>
      </w:pPr>
      <w:r>
        <w:rPr>
          <w:rFonts w:ascii="arial" w:hAnsi="arial"/>
          <w:sz w:val="20"/>
        </w:rPr>
        <w:t xml:space="preserve">PERSONS CONSIDERING THE PURCHASE OF OUR COMMON STOCK PURSUANT TO THIS OFFERING SHOULD CONSULT THEIR OWN TAX ADVISORS CONCERNING THE U.S. FEDERAL INCOME TAX CONSEQUENCES OF OWNING AND DISPOSING OF OUR COMMON STOCK IN LIGHT OF THEIR PARTICULAR SITUATIONS, AS WELL AS ANY TAX CONSEQUENCES ARISING UNDER THE LAWS OF ANY OTHER TAXING JURISDICTION, INCLUDING ANY STATE, LOCAL, OR NON-U.S. TAX CONSEQUENCES, ANY U.S. FEDERAL NON-INCOME TAX CONSEQUENCES, AND THE POSSIBLE APPLICATION OF TAX TREATIES. </w:t>
      </w:r>
    </w:p>
    <w:p>
      <w:pPr>
        <w:pStyle w:val="TextBody"/>
        <w:bidi w:val="0"/>
        <w:spacing w:before="160" w:after="0"/>
        <w:jc w:val="left"/>
        <w:rPr>
          <w:rFonts w:ascii="arial" w:hAnsi="arial"/>
          <w:sz w:val="20"/>
        </w:rPr>
      </w:pPr>
      <w:r>
        <w:rPr>
          <w:rFonts w:ascii="arial" w:hAnsi="arial"/>
          <w:sz w:val="20"/>
        </w:rPr>
        <w:t xml:space="preserve">A “U.S. Holder” is a beneficial owner of our common stock that is or is treated as,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(A) whose administration is subject to the primary supervision of a court within the United States and one or more United States persons (within the meaning of Section 7701(a)(30) of the Code) have the authority to control all substantial decisions of the trust or (B) that has a valid election in effect under applicable Treasury Regulations to be treated as a United States person. </w:t>
      </w:r>
    </w:p>
    <w:p>
      <w:pPr>
        <w:pStyle w:val="TextBody"/>
        <w:bidi w:val="0"/>
        <w:spacing w:before="160" w:after="0"/>
        <w:jc w:val="left"/>
        <w:rPr>
          <w:rFonts w:ascii="arial" w:hAnsi="arial"/>
          <w:sz w:val="20"/>
        </w:rPr>
      </w:pPr>
      <w:r>
        <w:rPr>
          <w:rFonts w:ascii="arial" w:hAnsi="arial"/>
          <w:sz w:val="20"/>
        </w:rPr>
        <w:t xml:space="preserve">For purposes of this discussion, a “Non-U.S. Holder” is a beneficial owner of our common stock that is neither a U.S. Holder nor an entity or arrangement treated as a partnership or other pass-through entity for U.S. federal income tax purposes. </w:t>
      </w:r>
    </w:p>
    <w:p>
      <w:pPr>
        <w:pStyle w:val="TextBody"/>
        <w:bidi w:val="0"/>
        <w:spacing w:before="160" w:after="0"/>
        <w:jc w:val="left"/>
        <w:rPr>
          <w:rFonts w:ascii="arial" w:hAnsi="arial"/>
          <w:sz w:val="20"/>
        </w:rPr>
      </w:pPr>
      <w:r>
        <w:rPr>
          <w:rFonts w:ascii="arial" w:hAnsi="arial"/>
          <w:sz w:val="20"/>
        </w:rPr>
        <w:t xml:space="preserve">If you are an individual who is not a U.S. citizen, you may be deemed to be a resident of the United States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w:t>
      </w:r>
    </w:p>
    <w:p>
      <w:pPr>
        <w:pStyle w:val="TextBody"/>
        <w:bidi w:val="0"/>
        <w:spacing w:before="320" w:after="0"/>
        <w:jc w:val="left"/>
        <w:rPr>
          <w:rFonts w:ascii="arial" w:hAnsi="arial"/>
          <w:b/>
          <w:sz w:val="24"/>
        </w:rPr>
      </w:pPr>
      <w:r>
        <w:rPr>
          <w:rFonts w:ascii="arial" w:hAnsi="arial"/>
          <w:b/>
          <w:sz w:val="24"/>
        </w:rPr>
        <w:t xml:space="preserve">Distributions </w:t>
      </w:r>
    </w:p>
    <w:p>
      <w:pPr>
        <w:pStyle w:val="TextBody"/>
        <w:bidi w:val="0"/>
        <w:spacing w:before="160" w:after="0"/>
        <w:jc w:val="left"/>
        <w:rPr>
          <w:rFonts w:ascii="arial" w:hAnsi="arial"/>
          <w:sz w:val="20"/>
        </w:rPr>
      </w:pPr>
      <w:r>
        <w:rPr>
          <w:rFonts w:ascii="arial" w:hAnsi="arial"/>
          <w:sz w:val="20"/>
        </w:rPr>
        <w:t xml:space="preserve">As discussed in the section titled “Dividend policy,” we do not anticipate paying any dividends on our common stock in the foreseeable future. If we do make distributions on our common stock, however, such distributions made to a Non-U.S. Holder will constitute dividends for U.S. federal income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 Any remaining excess will be treated as capital gain realized on the sale or exchange of our common stock as described below under the section titled “—Gain on disposition of our common stock.” </w:t>
      </w:r>
    </w:p>
    <w:p>
      <w:pPr>
        <w:pStyle w:val="TextBody"/>
        <w:bidi w:val="0"/>
        <w:spacing w:before="160" w:after="0"/>
        <w:jc w:val="left"/>
        <w:rPr>
          <w:rFonts w:ascii="arial" w:hAnsi="arial"/>
          <w:sz w:val="20"/>
        </w:rPr>
      </w:pPr>
      <w:r>
        <w:rPr>
          <w:rFonts w:ascii="arial" w:hAnsi="arial"/>
          <w:sz w:val="20"/>
        </w:rPr>
        <w:t xml:space="preserve">Any distribution on our common stock that is treated as a dividend paid to a Non-U.S. Holder that is not effectively connected with the Non-U.S. Holder’s conduct of a trade or business in the United States generally will be subject to withholding tax at a 30% rate on the gross amount of the dividend, or such lower rate as may be specified by an applicable income tax treaty between the United States and the Non-U.S. Holder’s country of residence. To obtain a reduced rate of withholding tax under an applicable income tax treaty, a Non-U.S. Holder generally will be required to provide the applicable withholding agent with a properly executed IRS Form W-8BEN (in the case of individuals), IRS Form W-8BEN-E (in the case of entities), or other appropriate form, certifying the Non-U.S. Holder’s entitlement to benefits under that income tax treaty. Such form must be provided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our common stock through a financial institution or other agent acting on the Non-U.S. Holder’s behalf, the holder will be required to provide appropriate documentation to such agent. The Non-U.S. Holder’s agent will then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If you are eligible for a reduced rate of U.S. withholding tax under an income tax treaty, you should consult with your own tax advisor to determine if you are able to obtain a refund or credit of any excess amounts withheld. </w:t>
      </w:r>
    </w:p>
    <w:p>
      <w:pPr>
        <w:pStyle w:val="TextBody"/>
        <w:bidi w:val="0"/>
        <w:spacing w:before="160" w:after="0"/>
        <w:jc w:val="left"/>
        <w:rPr>
          <w:rFonts w:ascii="arial" w:hAnsi="arial"/>
          <w:sz w:val="20"/>
        </w:rPr>
      </w:pPr>
      <w:r>
        <w:rPr>
          <w:rFonts w:ascii="arial" w:hAnsi="arial"/>
          <w:sz w:val="20"/>
        </w:rPr>
        <w:t xml:space="preserve">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the Non-U.S. Holder maintains in the United States) if a properly executed IRS Form W-8ECI (or applicable successor form), stating that the dividends are effectively connected with the Non-U.S. Holder’s conduct of a trade or business within the United States (and, if required by an applicable income tax treaty, are attributable to such Non-U.S. Holder’s permanent establishment in the United States), is furnished to the applicable withholding agent. In general, such effectively connected dividends will be subject to U.S. federal income tax on a net income basis at the regular U.S. federal income tax rates applicable to U.S. persons.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the U.S. tax consequences of the ownership and disposition of our common stock, including the possible imposition of the branch profits tax and any applicable income tax treaties that may provide for different rules. </w:t>
      </w:r>
    </w:p>
    <w:p>
      <w:pPr>
        <w:pStyle w:val="TextBody"/>
        <w:bidi w:val="0"/>
        <w:spacing w:before="160" w:after="0"/>
        <w:jc w:val="left"/>
        <w:rPr>
          <w:rFonts w:ascii="arial" w:hAnsi="arial"/>
          <w:sz w:val="20"/>
        </w:rPr>
      </w:pPr>
      <w:r>
        <w:rPr>
          <w:rFonts w:ascii="arial" w:hAnsi="arial"/>
          <w:sz w:val="20"/>
        </w:rPr>
        <w:t xml:space="preserve">See also the section titled “—Foreign accounts” for additional withholding rules that may apply to dividends paid to certain foreign financial institutions or non-financial foreign entities. </w:t>
      </w:r>
    </w:p>
    <w:p>
      <w:pPr>
        <w:pStyle w:val="TextBody"/>
        <w:bidi w:val="0"/>
        <w:spacing w:before="320" w:after="0"/>
        <w:jc w:val="left"/>
        <w:rPr>
          <w:rFonts w:ascii="arial" w:hAnsi="arial"/>
          <w:b/>
          <w:sz w:val="24"/>
        </w:rPr>
      </w:pPr>
      <w:r>
        <w:rPr>
          <w:rFonts w:ascii="arial" w:hAnsi="arial"/>
          <w:b/>
          <w:sz w:val="24"/>
        </w:rPr>
        <w:t xml:space="preserve">Gain on disposition of our common stock </w:t>
      </w:r>
    </w:p>
    <w:p>
      <w:pPr>
        <w:pStyle w:val="TextBody"/>
        <w:bidi w:val="0"/>
        <w:spacing w:before="160" w:after="0"/>
        <w:jc w:val="left"/>
        <w:rPr>
          <w:rFonts w:ascii="arial" w:hAnsi="arial"/>
          <w:sz w:val="20"/>
        </w:rPr>
      </w:pPr>
      <w:r>
        <w:rPr>
          <w:rFonts w:ascii="arial" w:hAnsi="arial"/>
          <w:sz w:val="20"/>
        </w:rPr>
        <w:t xml:space="preserve">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(i) the gain is effectively connected with a trade or business of the Non-U.S. Holder in the United States (and, if required by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applicable income tax treaty, is attributable to a permanent establishment or fixed base that the Non-U.S. Holder maintains in the United States), (ii) the Non-U.S. Holder is a nonresident alien individual and is present in the United States for 183 or more days in the taxable year of the disposition and certain other conditions are met, or (iii) we are or have been a “United States real property holding corporation” within the meaning of Section 897(c)(2) of the Code at any time within the shorter of the five-year period preceding such disposition or the Non-U.S. Holder’s holding period in the common stock. </w:t>
      </w:r>
    </w:p>
    <w:p>
      <w:pPr>
        <w:pStyle w:val="TextBody"/>
        <w:bidi w:val="0"/>
        <w:spacing w:before="160" w:after="0"/>
        <w:jc w:val="left"/>
        <w:rPr>
          <w:rFonts w:ascii="arial" w:hAnsi="arial"/>
          <w:sz w:val="20"/>
        </w:rPr>
      </w:pPr>
      <w:r>
        <w:rPr>
          <w:rFonts w:ascii="arial" w:hAnsi="arial"/>
          <w:sz w:val="20"/>
        </w:rPr>
        <w:t xml:space="preserve">If you are a Non-U.S. Holder, gain described in clause (i) above will be subject to U.S. federal income tax on the net gain derived from the sale at the regular U.S. federal income tax rates applicable to U.S. persons subject to an applicable income tax treaty providing otherwise. If you are a corporate Non-U.S. Holder, gain described in clause (i) above may also be subject to the additional branch profits tax at a 30% rate or such lower rate as may be specified by an applicable income tax treaty. If you are an individual Non-U.S. Holder described in clause (ii) above, you will be required to pay a flat 30% tax on the gain derived from the sale (or such lower rate as may be specified by an applicable income tax treaty), which gain may be offset by certain U.S. source capital losses (even though you are not considered a resident of the United States), provided you have timely filed U.S. federal income tax returns with respect to such losses. With respect to clause (iii) above, in general, we would be a “United States real property holding corporation” if United States real property interests (as defined in the Code and the Treasury Regulations) comprised (by fair market value) at least half of our worldwide real property and our other assets that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common stock will not be subject to U.S. federal income tax so long as: (i) the Non-U.S. Holder owned, directly, indirectly, and constructively, no more than 5% of our common stock at all times within the shorter of the five-year period preceding the disposition or the Non-U.S. Holder’s holding period and (ii) our common stock is regularly traded on an established securities market for purposes of the relevant rules. There can be no assurance that our common stock will qualify as regularly traded on an established securities market for this purpose. If we are treated as a “United States real property holding corporation” and the exception described in the previous two sentences does not apply, gain realized by a Non-U.S. Holder on a disposition of our common stock generally will be subject to U.S. federal income tax at the regular U.S. federal income tax rates applicable to U.S. persons. </w:t>
      </w:r>
    </w:p>
    <w:p>
      <w:pPr>
        <w:pStyle w:val="TextBody"/>
        <w:bidi w:val="0"/>
        <w:spacing w:before="160" w:after="0"/>
        <w:jc w:val="left"/>
        <w:rPr>
          <w:rFonts w:ascii="arial" w:hAnsi="arial"/>
          <w:sz w:val="20"/>
        </w:rPr>
      </w:pPr>
      <w:r>
        <w:rPr>
          <w:rFonts w:ascii="arial" w:hAnsi="arial"/>
          <w:sz w:val="20"/>
        </w:rPr>
        <w:t xml:space="preserve">Non-U.S. Holders should consult their tax advisors regarding the U.S. tax consequences of the ownership and disposition of our common stock, including any applicable income tax treaty that may provide for different rules. </w:t>
      </w:r>
    </w:p>
    <w:p>
      <w:pPr>
        <w:pStyle w:val="TextBody"/>
        <w:bidi w:val="0"/>
        <w:spacing w:before="320" w:after="0"/>
        <w:jc w:val="left"/>
        <w:rPr>
          <w:rFonts w:ascii="arial" w:hAnsi="arial"/>
          <w:b/>
          <w:sz w:val="24"/>
        </w:rPr>
      </w:pPr>
      <w:r>
        <w:rPr>
          <w:rFonts w:ascii="arial" w:hAnsi="arial"/>
          <w:b/>
          <w:sz w:val="24"/>
        </w:rPr>
        <w:t xml:space="preserve">Backup withholding and information reporting </w:t>
      </w:r>
    </w:p>
    <w:p>
      <w:pPr>
        <w:pStyle w:val="TextBody"/>
        <w:bidi w:val="0"/>
        <w:spacing w:before="160" w:after="0"/>
        <w:jc w:val="left"/>
        <w:rPr>
          <w:rFonts w:ascii="arial" w:hAnsi="arial"/>
          <w:sz w:val="20"/>
        </w:rPr>
      </w:pPr>
      <w:r>
        <w:rPr>
          <w:rFonts w:ascii="arial" w:hAnsi="arial"/>
          <w:sz w:val="20"/>
        </w:rPr>
        <w:t xml:space="preserve">Generally, we or an applicable withholding agent must report information to the IRS with respect to any distributions we pay on our common stock, including the amount of any such distributions, the name and address of the recipient, and the amount, if any, of tax withheld. A similar report is sent to the Non-U.S. Holder to whom any such dividends are paid. Pursuant to tax treaties or certain other agreements, the IRS may make its reports available to tax authorities in the recipient’s country of residence. </w:t>
      </w:r>
    </w:p>
    <w:p>
      <w:pPr>
        <w:pStyle w:val="TextBody"/>
        <w:bidi w:val="0"/>
        <w:spacing w:before="160" w:after="0"/>
        <w:jc w:val="left"/>
        <w:rPr>
          <w:rFonts w:ascii="arial" w:hAnsi="arial"/>
          <w:sz w:val="20"/>
        </w:rPr>
      </w:pPr>
      <w:r>
        <w:rPr>
          <w:rFonts w:ascii="arial" w:hAnsi="arial"/>
          <w:sz w:val="20"/>
        </w:rPr>
        <w:t xml:space="preserve">Payments on our common stock or the proceeds from a sale or other disposition of our common stock to a Non-U.S. Holder also may also be subject to U.S. backup withholding, unless certain certification requirements are met.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U.S. person. Backup withholding is not an additional tax. If backup withholding is applied to you, you should consult with your own tax advisor to determine whether you are able to obtain a tax refund or credit of any overpaid amount. </w:t>
      </w:r>
    </w:p>
    <w:p>
      <w:pPr>
        <w:pStyle w:val="TextBody"/>
        <w:bidi w:val="0"/>
        <w:spacing w:before="320" w:after="0"/>
        <w:jc w:val="left"/>
        <w:rPr>
          <w:rFonts w:ascii="arial" w:hAnsi="arial"/>
          <w:b/>
          <w:sz w:val="24"/>
        </w:rPr>
      </w:pPr>
      <w:r>
        <w:rPr>
          <w:rFonts w:ascii="arial" w:hAnsi="arial"/>
          <w:b/>
          <w:sz w:val="24"/>
        </w:rPr>
        <w:t xml:space="preserve">Foreign accounts </w:t>
      </w:r>
    </w:p>
    <w:p>
      <w:pPr>
        <w:pStyle w:val="TextBody"/>
        <w:bidi w:val="0"/>
        <w:spacing w:before="160" w:after="0"/>
        <w:jc w:val="left"/>
        <w:rPr>
          <w:rFonts w:ascii="arial" w:hAnsi="arial"/>
          <w:sz w:val="20"/>
        </w:rPr>
      </w:pPr>
      <w:r>
        <w:rPr>
          <w:rFonts w:ascii="arial" w:hAnsi="arial"/>
          <w:sz w:val="20"/>
        </w:rPr>
        <w:t xml:space="preserve">In addition, U.S. federal withholding taxes may apply under the Foreign Account Tax Compliance Act, or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specifically defined for purposes of FATCA), unless (i) the foreign financial institution agrees to undertake certain diligence and reporting obligations, (ii) the non-financial foreign entity either certifies it does not have any “substantial United States owners” (as specifically defined for purposes of FATCA) or furnishes identifying information regarding each substantial United States owner, or (iii)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160" w:after="0"/>
        <w:jc w:val="left"/>
        <w:rPr>
          <w:rFonts w:ascii="arial" w:hAnsi="arial"/>
          <w:sz w:val="20"/>
        </w:rPr>
      </w:pPr>
      <w:r>
        <w:rPr>
          <w:rFonts w:ascii="arial" w:hAnsi="arial"/>
          <w:sz w:val="20"/>
        </w:rPr>
        <w:t xml:space="preserve">Although the Code provides that FATCA withholding generally also will apply to payments of gross proceeds from the sale or other disposition of our common stock, proposed Treasury Regulations have been released that, if finalized in their present form, would eliminate the FATCA withholding of 30% applicable to gross proceeds from sales or other dispositions of our common stock (other than amounts treated as dividends). The preamble to the proposed Treasury Regulations states that taxpayers generally may rely on them until final Treasury Regulations are issued. </w:t>
      </w:r>
    </w:p>
    <w:p>
      <w:pPr>
        <w:pStyle w:val="TextBody"/>
        <w:bidi w:val="0"/>
        <w:spacing w:before="160" w:after="0"/>
        <w:jc w:val="left"/>
        <w:rPr>
          <w:rFonts w:ascii="arial" w:hAnsi="arial"/>
          <w:sz w:val="20"/>
        </w:rPr>
      </w:pPr>
      <w:r>
        <w:rPr>
          <w:rFonts w:ascii="arial" w:hAnsi="arial"/>
          <w:sz w:val="20"/>
        </w:rPr>
        <w:t xml:space="preserve">Prospective investors should consult their tax advisors regarding the potential implications of FATCA on their investment in our common stock. </w:t>
      </w:r>
    </w:p>
    <w:p>
      <w:pPr>
        <w:pStyle w:val="TextBody"/>
        <w:bidi w:val="0"/>
        <w:spacing w:before="160" w:after="0"/>
        <w:jc w:val="left"/>
        <w:rPr>
          <w:rFonts w:ascii="arial" w:hAnsi="arial"/>
          <w:sz w:val="20"/>
        </w:rPr>
      </w:pPr>
      <w:r>
        <w:rPr>
          <w:rFonts w:ascii="arial" w:hAnsi="arial"/>
          <w:sz w:val="20"/>
        </w:rPr>
        <w:t xml:space="preserve">EACH PROSPECTIVE INVESTOR SHOULD CONSULT ITS OWN TAX ADVISOR REGARDING THE TAX CONSEQUENCES OF OWNING AND DISPOSING OF OUR COMMON STOCK, INCLUDING THE CONSEQUENCES OF ANY PROPOSED CHANGE IN APPLICABLE LAW, AND THE POSSIBLE APPLICATION OF TAX TREATIES.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3" w:name="toc39680_18"/>
      <w:bookmarkEnd w:id="23"/>
      <w:r>
        <w:rPr>
          <w:rFonts w:ascii="arial" w:hAnsi="arial"/>
          <w:b/>
          <w:sz w:val="32"/>
        </w:rPr>
        <w:t xml:space="preserve">Underwriting </w:t>
      </w:r>
    </w:p>
    <w:p>
      <w:pPr>
        <w:pStyle w:val="TextBody"/>
        <w:bidi w:val="0"/>
        <w:spacing w:before="160" w:after="0"/>
        <w:jc w:val="left"/>
        <w:rPr>
          <w:rFonts w:ascii="arial" w:hAnsi="arial"/>
          <w:sz w:val="20"/>
        </w:rPr>
      </w:pPr>
      <w:r>
        <w:rPr>
          <w:rFonts w:ascii="arial" w:hAnsi="arial"/>
          <w:sz w:val="20"/>
        </w:rPr>
        <w:t xml:space="preserve">We are offering the shares of our common stock described in this prospectus through a number of underwriters. J.P. Morgan Securities LLC, BofA Securities, Inc., TD Securities (USA) LLC, Leerink Partners LLC and Stifel, Nicolaus &amp; Company, Incorporated are acting as joint book-running managers of the offering. J.P. Morgan Securities LLC, BofA Securities, Inc. and TD Securities (USA)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our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40"/>
        <w:gridCol w:w="123"/>
        <w:gridCol w:w="60"/>
        <w:gridCol w:w="1119"/>
        <w:gridCol w:w="63"/>
      </w:tblGrid>
      <w:tr>
        <w:trPr/>
        <w:tc>
          <w:tcPr>
            <w:tcW w:w="88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840" w:type="dxa"/>
            <w:tcBorders>
              <w:top w:val="single" w:sz="16" w:space="0" w:color="000000"/>
            </w:tcBorders>
            <w:tcMar>
              <w:top w:w="28" w:type="dxa"/>
            </w:tcMar>
            <w:vAlign w:val="center"/>
          </w:tcPr>
          <w:p>
            <w:pPr>
              <w:pStyle w:val="TableContents"/>
              <w:bidi w:val="0"/>
              <w:spacing w:before="0" w:after="283"/>
              <w:jc w:val="left"/>
              <w:rPr/>
            </w:pPr>
            <w:r>
              <w:rPr/>
              <w:t> </w:t>
            </w:r>
          </w:p>
        </w:tc>
        <w:tc>
          <w:tcPr>
            <w:tcW w:w="136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40"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Number</w:t>
            </w:r>
          </w:p>
          <w:p>
            <w:pPr>
              <w:pStyle w:val="TableContents"/>
              <w:bidi w:val="0"/>
              <w:spacing w:before="0" w:after="20"/>
              <w:jc w:val="right"/>
              <w:rPr>
                <w:rFonts w:ascii="arial" w:hAnsi="arial"/>
                <w:b/>
                <w:sz w:val="18"/>
              </w:rPr>
            </w:pPr>
            <w:r>
              <w:rPr>
                <w:rFonts w:ascii="arial" w:hAnsi="arial"/>
                <w:b/>
                <w:sz w:val="18"/>
              </w:rPr>
              <w:t>of shares</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840"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3,600,000</w:t>
            </w:r>
          </w:p>
        </w:tc>
        <w:tc>
          <w:tcPr>
            <w:tcW w:w="63" w:type="dxa"/>
            <w:tcBorders/>
            <w:shd w:fill="CCEEFF" w:val="clear"/>
            <w:vAlign w:val="bottom"/>
          </w:tcPr>
          <w:p>
            <w:pPr>
              <w:pStyle w:val="TableContents"/>
              <w:bidi w:val="0"/>
              <w:spacing w:before="0" w:after="283"/>
              <w:jc w:val="left"/>
              <w:rPr/>
            </w:pPr>
            <w:r>
              <w:rPr/>
              <w:t> </w:t>
            </w:r>
          </w:p>
        </w:tc>
      </w:tr>
      <w:tr>
        <w:trPr/>
        <w:tc>
          <w:tcPr>
            <w:tcW w:w="8840" w:type="dxa"/>
            <w:tcBorders/>
          </w:tcPr>
          <w:p>
            <w:pPr>
              <w:pStyle w:val="TableContents"/>
              <w:bidi w:val="0"/>
              <w:spacing w:before="0" w:after="0"/>
              <w:jc w:val="left"/>
              <w:rPr>
                <w:rFonts w:ascii="arial" w:hAnsi="arial"/>
                <w:sz w:val="20"/>
              </w:rPr>
            </w:pPr>
            <w:r>
              <w:rPr>
                <w:rFonts w:ascii="arial" w:hAnsi="arial"/>
                <w:sz w:val="20"/>
              </w:rPr>
              <w:t>BofA Securities, Inc.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3,375,000</w:t>
            </w:r>
          </w:p>
        </w:tc>
        <w:tc>
          <w:tcPr>
            <w:tcW w:w="63" w:type="dxa"/>
            <w:tcBorders/>
            <w:vAlign w:val="bottom"/>
          </w:tcPr>
          <w:p>
            <w:pPr>
              <w:pStyle w:val="TableContents"/>
              <w:bidi w:val="0"/>
              <w:spacing w:before="0" w:after="283"/>
              <w:jc w:val="left"/>
              <w:rPr/>
            </w:pPr>
            <w:r>
              <w:rPr/>
              <w:t> </w:t>
            </w:r>
          </w:p>
        </w:tc>
      </w:tr>
      <w:tr>
        <w:trPr/>
        <w:tc>
          <w:tcPr>
            <w:tcW w:w="8840" w:type="dxa"/>
            <w:tcBorders/>
            <w:shd w:fill="CCEEFF" w:val="clear"/>
          </w:tcPr>
          <w:p>
            <w:pPr>
              <w:pStyle w:val="TableContents"/>
              <w:bidi w:val="0"/>
              <w:spacing w:before="0" w:after="0"/>
              <w:jc w:val="left"/>
              <w:rPr>
                <w:rFonts w:ascii="arial" w:hAnsi="arial"/>
                <w:sz w:val="20"/>
              </w:rPr>
            </w:pPr>
            <w:r>
              <w:rPr>
                <w:rFonts w:ascii="arial" w:hAnsi="arial"/>
                <w:sz w:val="20"/>
              </w:rPr>
              <w:t>TD Securities (USA)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1,800,000</w:t>
            </w:r>
          </w:p>
        </w:tc>
        <w:tc>
          <w:tcPr>
            <w:tcW w:w="63" w:type="dxa"/>
            <w:tcBorders/>
            <w:shd w:fill="CCEEFF" w:val="clear"/>
            <w:vAlign w:val="bottom"/>
          </w:tcPr>
          <w:p>
            <w:pPr>
              <w:pStyle w:val="TableContents"/>
              <w:bidi w:val="0"/>
              <w:spacing w:before="0" w:after="283"/>
              <w:jc w:val="left"/>
              <w:rPr/>
            </w:pPr>
            <w:r>
              <w:rPr/>
              <w:t> </w:t>
            </w:r>
          </w:p>
        </w:tc>
      </w:tr>
      <w:tr>
        <w:trPr/>
        <w:tc>
          <w:tcPr>
            <w:tcW w:w="8840" w:type="dxa"/>
            <w:tcBorders/>
          </w:tcPr>
          <w:p>
            <w:pPr>
              <w:pStyle w:val="TableContents"/>
              <w:bidi w:val="0"/>
              <w:spacing w:before="0" w:after="0"/>
              <w:jc w:val="left"/>
              <w:rPr>
                <w:rFonts w:ascii="arial" w:hAnsi="arial"/>
                <w:sz w:val="20"/>
              </w:rPr>
            </w:pPr>
            <w:r>
              <w:rPr>
                <w:rFonts w:ascii="arial" w:hAnsi="arial"/>
                <w:sz w:val="20"/>
              </w:rPr>
              <w:t>Leerink Partners LLC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1,237,500</w:t>
            </w:r>
          </w:p>
        </w:tc>
        <w:tc>
          <w:tcPr>
            <w:tcW w:w="63" w:type="dxa"/>
            <w:tcBorders/>
            <w:vAlign w:val="bottom"/>
          </w:tcPr>
          <w:p>
            <w:pPr>
              <w:pStyle w:val="TableContents"/>
              <w:bidi w:val="0"/>
              <w:spacing w:before="0" w:after="283"/>
              <w:jc w:val="left"/>
              <w:rPr/>
            </w:pPr>
            <w:r>
              <w:rPr/>
              <w:t> </w:t>
            </w:r>
          </w:p>
        </w:tc>
      </w:tr>
      <w:tr>
        <w:trPr/>
        <w:tc>
          <w:tcPr>
            <w:tcW w:w="8840" w:type="dxa"/>
            <w:tcBorders/>
            <w:shd w:fill="CCEEFF" w:val="clear"/>
          </w:tcPr>
          <w:p>
            <w:pPr>
              <w:pStyle w:val="TableContents"/>
              <w:bidi w:val="0"/>
              <w:spacing w:before="0" w:after="0"/>
              <w:jc w:val="left"/>
              <w:rPr>
                <w:rFonts w:ascii="arial" w:hAnsi="arial"/>
                <w:sz w:val="20"/>
              </w:rPr>
            </w:pPr>
            <w:r>
              <w:rPr>
                <w:rFonts w:ascii="arial" w:hAnsi="arial"/>
                <w:sz w:val="20"/>
              </w:rPr>
              <w:t>Stifel, Nicolaus &amp; Company, Incorporated</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1,237,500</w:t>
            </w:r>
          </w:p>
        </w:tc>
        <w:tc>
          <w:tcPr>
            <w:tcW w:w="63" w:type="dxa"/>
            <w:tcBorders/>
            <w:shd w:fill="CCEEFF" w:val="clear"/>
            <w:vAlign w:val="bottom"/>
          </w:tcPr>
          <w:p>
            <w:pPr>
              <w:pStyle w:val="TableContents"/>
              <w:bidi w:val="0"/>
              <w:spacing w:before="0" w:after="283"/>
              <w:jc w:val="left"/>
              <w:rPr/>
            </w:pPr>
            <w:r>
              <w:rPr/>
              <w:t> </w:t>
            </w:r>
          </w:p>
        </w:tc>
      </w:tr>
      <w:tr>
        <w:trPr/>
        <w:tc>
          <w:tcPr>
            <w:tcW w:w="884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840" w:type="dxa"/>
            <w:tcBorders/>
          </w:tcPr>
          <w:p>
            <w:pPr>
              <w:pStyle w:val="TableContents"/>
              <w:bidi w:val="0"/>
              <w:spacing w:before="0" w:after="0"/>
              <w:jc w:val="left"/>
              <w:rPr>
                <w:rFonts w:ascii="arial" w:hAnsi="arial"/>
                <w:sz w:val="20"/>
              </w:rPr>
            </w:pPr>
            <w:r>
              <w:rPr>
                <w:rFonts w:ascii="arial" w:hAnsi="arial"/>
                <w:sz w:val="20"/>
              </w:rPr>
              <w:t>Total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11,250,000</w:t>
            </w:r>
          </w:p>
        </w:tc>
        <w:tc>
          <w:tcPr>
            <w:tcW w:w="63" w:type="dxa"/>
            <w:tcBorders/>
            <w:vAlign w:val="bottom"/>
          </w:tcPr>
          <w:p>
            <w:pPr>
              <w:pStyle w:val="TableContents"/>
              <w:bidi w:val="0"/>
              <w:spacing w:before="0" w:after="283"/>
              <w:jc w:val="left"/>
              <w:rPr/>
            </w:pPr>
            <w:r>
              <w:rPr/>
              <w:t> </w:t>
            </w:r>
          </w:p>
        </w:tc>
      </w:tr>
      <w:tr>
        <w:trPr/>
        <w:tc>
          <w:tcPr>
            <w:tcW w:w="8840" w:type="dxa"/>
            <w:tcBorders/>
          </w:tcPr>
          <w:p>
            <w:pPr>
              <w:pStyle w:val="TableContents"/>
              <w:pBdr>
                <w:bottom w:val="single" w:sz="2" w:space="1" w:color="000000"/>
              </w:pBdr>
              <w:bidi w:val="0"/>
              <w:spacing w:before="0" w:after="0"/>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bottom w:val="single" w:sz="2" w:space="1" w:color="000000"/>
              </w:pBdr>
              <w:bidi w:val="0"/>
              <w:spacing w:before="0" w:after="0"/>
              <w:jc w:val="left"/>
              <w:rPr/>
            </w:pPr>
            <w:r>
              <w:rPr/>
              <w:t> </w:t>
            </w:r>
          </w:p>
        </w:tc>
        <w:tc>
          <w:tcPr>
            <w:tcW w:w="1119" w:type="dxa"/>
            <w:tcBorders/>
            <w:vAlign w:val="bottom"/>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underwriters are committed to purchase all the shares of our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160" w:after="0"/>
        <w:jc w:val="left"/>
        <w:rPr>
          <w:rFonts w:ascii="arial" w:hAnsi="arial"/>
          <w:sz w:val="20"/>
        </w:rPr>
      </w:pPr>
      <w:r>
        <w:rPr>
          <w:rFonts w:ascii="arial" w:hAnsi="arial"/>
          <w:sz w:val="20"/>
        </w:rPr>
        <w:t xml:space="preserve">The underwriters propose to offer the shares of our common stock directly to the public at the initial public offering price set forth on the cover page of this prospectus and to certain dealers at that price less a concession not in excess of $0.714 per share. After the initial offering of the shares to the public, if all of the shares of our common stock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160" w:after="0"/>
        <w:jc w:val="left"/>
        <w:rPr>
          <w:rFonts w:ascii="arial" w:hAnsi="arial"/>
          <w:sz w:val="20"/>
        </w:rPr>
      </w:pPr>
      <w:r>
        <w:rPr>
          <w:rFonts w:ascii="arial" w:hAnsi="arial"/>
          <w:sz w:val="20"/>
        </w:rPr>
        <w:t xml:space="preserve">The underwriters have an option to buy up to 1,687,500 additional shares of our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our common stock are purchased, the underwriters will offer the additional shares on the same terms as those on which the shares are being offered. </w:t>
      </w:r>
    </w:p>
    <w:p>
      <w:pPr>
        <w:pStyle w:val="TextBody"/>
        <w:bidi w:val="0"/>
        <w:spacing w:before="160" w:after="0"/>
        <w:jc w:val="left"/>
        <w:rPr>
          <w:rFonts w:ascii="arial" w:hAnsi="arial"/>
          <w:sz w:val="20"/>
        </w:rPr>
      </w:pPr>
      <w:r>
        <w:rPr>
          <w:rFonts w:ascii="arial" w:hAnsi="arial"/>
          <w:sz w:val="20"/>
        </w:rPr>
        <w:t xml:space="preserve">The underwriting fee is equal to the public offering price per share of our common stock less the amount paid by the underwriters to us per share of our common stock. The underwriting fee is $1.19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1"/>
        <w:gridCol w:w="549"/>
        <w:gridCol w:w="1726"/>
        <w:gridCol w:w="549"/>
        <w:gridCol w:w="1730"/>
      </w:tblGrid>
      <w:tr>
        <w:trPr/>
        <w:tc>
          <w:tcPr>
            <w:tcW w:w="5651"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651" w:type="dxa"/>
            <w:tcBorders>
              <w:top w:val="single" w:sz="16" w:space="0" w:color="000000"/>
            </w:tcBorders>
            <w:tcMar>
              <w:top w:w="28" w:type="dxa"/>
            </w:tcMar>
            <w:vAlign w:val="center"/>
          </w:tcPr>
          <w:p>
            <w:pPr>
              <w:pStyle w:val="TableContents"/>
              <w:bidi w:val="0"/>
              <w:spacing w:before="0" w:after="283"/>
              <w:jc w:val="left"/>
              <w:rPr/>
            </w:pPr>
            <w:r>
              <w:rPr/>
              <w:t> </w:t>
            </w:r>
          </w:p>
        </w:tc>
        <w:tc>
          <w:tcPr>
            <w:tcW w:w="227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279"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5651" w:type="dxa"/>
            <w:tcBorders>
              <w:bottom w:val="single" w:sz="2" w:space="0" w:color="000000"/>
            </w:tcBorders>
            <w:tcMar>
              <w:bottom w:w="28" w:type="dxa"/>
            </w:tcMar>
            <w:vAlign w:val="bottom"/>
          </w:tcPr>
          <w:p>
            <w:pPr>
              <w:pStyle w:val="TableContents"/>
              <w:bidi w:val="0"/>
              <w:spacing w:before="0" w:after="283"/>
              <w:jc w:val="left"/>
              <w:rPr/>
            </w:pPr>
            <w:r>
              <w:rPr/>
              <w:t>  </w:t>
            </w:r>
          </w:p>
        </w:tc>
        <w:tc>
          <w:tcPr>
            <w:tcW w:w="549" w:type="dxa"/>
            <w:tcBorders>
              <w:bottom w:val="single" w:sz="2" w:space="0" w:color="000000"/>
            </w:tcBorders>
            <w:tcMar>
              <w:bottom w:w="28" w:type="dxa"/>
            </w:tcMar>
            <w:vAlign w:val="bottom"/>
          </w:tcPr>
          <w:p>
            <w:pPr>
              <w:pStyle w:val="TableContents"/>
              <w:bidi w:val="0"/>
              <w:spacing w:before="0" w:after="283"/>
              <w:jc w:val="left"/>
              <w:rPr/>
            </w:pPr>
            <w:r>
              <w:rPr/>
              <w:t>  </w:t>
            </w:r>
          </w:p>
        </w:tc>
        <w:tc>
          <w:tcPr>
            <w:tcW w:w="1726" w:type="dxa"/>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Without option to</w:t>
            </w:r>
          </w:p>
          <w:p>
            <w:pPr>
              <w:pStyle w:val="TableContents"/>
              <w:bidi w:val="0"/>
              <w:spacing w:before="0" w:after="0"/>
              <w:jc w:val="right"/>
              <w:rPr>
                <w:rFonts w:ascii="arial" w:hAnsi="arial"/>
                <w:b/>
                <w:sz w:val="18"/>
              </w:rPr>
            </w:pPr>
            <w:r>
              <w:rPr>
                <w:rFonts w:ascii="arial" w:hAnsi="arial"/>
                <w:b/>
                <w:sz w:val="18"/>
              </w:rPr>
              <w:t>purchase additional</w:t>
            </w:r>
          </w:p>
          <w:p>
            <w:pPr>
              <w:pStyle w:val="TableContents"/>
              <w:bidi w:val="0"/>
              <w:spacing w:before="0" w:after="20"/>
              <w:jc w:val="right"/>
              <w:rPr>
                <w:rFonts w:ascii="arial" w:hAnsi="arial"/>
                <w:b/>
                <w:sz w:val="18"/>
              </w:rPr>
            </w:pPr>
            <w:r>
              <w:rPr>
                <w:rFonts w:ascii="arial" w:hAnsi="arial"/>
                <w:b/>
                <w:sz w:val="18"/>
              </w:rPr>
              <w:t>shares exercise</w:t>
            </w:r>
          </w:p>
        </w:tc>
        <w:tc>
          <w:tcPr>
            <w:tcW w:w="549" w:type="dxa"/>
            <w:tcBorders>
              <w:bottom w:val="single" w:sz="2" w:space="0" w:color="000000"/>
            </w:tcBorders>
            <w:tcMar>
              <w:bottom w:w="28" w:type="dxa"/>
            </w:tcMar>
            <w:vAlign w:val="bottom"/>
          </w:tcPr>
          <w:p>
            <w:pPr>
              <w:pStyle w:val="TableContents"/>
              <w:bidi w:val="0"/>
              <w:spacing w:before="0" w:after="283"/>
              <w:jc w:val="left"/>
              <w:rPr/>
            </w:pPr>
            <w:r>
              <w:rPr/>
              <w:t>  </w:t>
            </w:r>
          </w:p>
        </w:tc>
        <w:tc>
          <w:tcPr>
            <w:tcW w:w="1730" w:type="dxa"/>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With full option to</w:t>
            </w:r>
          </w:p>
          <w:p>
            <w:pPr>
              <w:pStyle w:val="TableContents"/>
              <w:bidi w:val="0"/>
              <w:spacing w:before="0" w:after="0"/>
              <w:jc w:val="right"/>
              <w:rPr>
                <w:rFonts w:ascii="arial" w:hAnsi="arial"/>
                <w:b/>
                <w:sz w:val="18"/>
              </w:rPr>
            </w:pPr>
            <w:r>
              <w:rPr>
                <w:rFonts w:ascii="arial" w:hAnsi="arial"/>
                <w:b/>
                <w:sz w:val="18"/>
              </w:rPr>
              <w:t>purchase additional</w:t>
            </w:r>
          </w:p>
          <w:p>
            <w:pPr>
              <w:pStyle w:val="TableContents"/>
              <w:bidi w:val="0"/>
              <w:spacing w:before="0" w:after="20"/>
              <w:jc w:val="right"/>
              <w:rPr>
                <w:rFonts w:ascii="arial" w:hAnsi="arial"/>
                <w:b/>
                <w:sz w:val="18"/>
              </w:rPr>
            </w:pPr>
            <w:r>
              <w:rPr>
                <w:rFonts w:ascii="arial" w:hAnsi="arial"/>
                <w:b/>
                <w:sz w:val="18"/>
              </w:rPr>
              <w:t>shares exercise</w:t>
            </w:r>
          </w:p>
        </w:tc>
      </w:tr>
      <w:tr>
        <w:trPr/>
        <w:tc>
          <w:tcPr>
            <w:tcW w:w="5651"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54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left"/>
              <w:rPr/>
            </w:pPr>
            <w:r>
              <w:rPr/>
              <w:t>$1.19</w:t>
            </w:r>
          </w:p>
        </w:tc>
        <w:tc>
          <w:tcPr>
            <w:tcW w:w="549"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left"/>
              <w:rPr/>
            </w:pPr>
            <w:r>
              <w:rPr/>
              <w:t>$1.19</w:t>
            </w:r>
          </w:p>
        </w:tc>
      </w:tr>
      <w:tr>
        <w:trPr/>
        <w:tc>
          <w:tcPr>
            <w:tcW w:w="5651" w:type="dxa"/>
            <w:tcBorders/>
          </w:tcPr>
          <w:p>
            <w:pPr>
              <w:pStyle w:val="TableContents"/>
              <w:bidi w:val="0"/>
              <w:spacing w:before="0" w:after="0"/>
              <w:jc w:val="left"/>
              <w:rPr>
                <w:rFonts w:ascii="arial" w:hAnsi="arial"/>
                <w:sz w:val="20"/>
              </w:rPr>
            </w:pPr>
            <w:r>
              <w:rPr>
                <w:rFonts w:ascii="arial" w:hAnsi="arial"/>
                <w:sz w:val="20"/>
              </w:rPr>
              <w:t>Total</w:t>
            </w:r>
          </w:p>
        </w:tc>
        <w:tc>
          <w:tcPr>
            <w:tcW w:w="54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left"/>
              <w:rPr/>
            </w:pPr>
            <w:r>
              <w:rPr/>
              <w:t>$13,387,500</w:t>
            </w:r>
          </w:p>
        </w:tc>
        <w:tc>
          <w:tcPr>
            <w:tcW w:w="549"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left"/>
              <w:rPr/>
            </w:pPr>
            <w:r>
              <w:rPr/>
              <w:t>$15,395,625</w:t>
            </w:r>
          </w:p>
        </w:tc>
      </w:tr>
      <w:tr>
        <w:trPr/>
        <w:tc>
          <w:tcPr>
            <w:tcW w:w="5651" w:type="dxa"/>
            <w:tcBorders/>
          </w:tcPr>
          <w:p>
            <w:pPr>
              <w:pStyle w:val="TableContents"/>
              <w:pBdr>
                <w:bottom w:val="single" w:sz="2" w:space="1" w:color="000000"/>
              </w:pBdr>
              <w:bidi w:val="0"/>
              <w:spacing w:before="0" w:after="0"/>
              <w:jc w:val="left"/>
              <w:rPr/>
            </w:pPr>
            <w:r>
              <w:rPr/>
              <w:t> </w:t>
            </w:r>
          </w:p>
        </w:tc>
        <w:tc>
          <w:tcPr>
            <w:tcW w:w="549" w:type="dxa"/>
            <w:tcBorders/>
            <w:vAlign w:val="bottom"/>
          </w:tcPr>
          <w:p>
            <w:pPr>
              <w:pStyle w:val="TableContents"/>
              <w:bidi w:val="0"/>
              <w:spacing w:before="0" w:after="283"/>
              <w:jc w:val="left"/>
              <w:rPr/>
            </w:pPr>
            <w:r>
              <w:rPr/>
              <w:t>  </w:t>
            </w:r>
          </w:p>
        </w:tc>
        <w:tc>
          <w:tcPr>
            <w:tcW w:w="1726" w:type="dxa"/>
            <w:tcBorders/>
            <w:vAlign w:val="bottom"/>
          </w:tcPr>
          <w:p>
            <w:pPr>
              <w:pStyle w:val="TableContents"/>
              <w:pBdr>
                <w:bottom w:val="single" w:sz="2" w:space="1" w:color="000000"/>
              </w:pBdr>
              <w:bidi w:val="0"/>
              <w:spacing w:before="0" w:after="0"/>
              <w:jc w:val="left"/>
              <w:rPr/>
            </w:pPr>
            <w:r>
              <w:rPr/>
              <w:t> </w:t>
            </w:r>
          </w:p>
        </w:tc>
        <w:tc>
          <w:tcPr>
            <w:tcW w:w="549" w:type="dxa"/>
            <w:tcBorders/>
            <w:vAlign w:val="bottom"/>
          </w:tcPr>
          <w:p>
            <w:pPr>
              <w:pStyle w:val="TableContents"/>
              <w:bidi w:val="0"/>
              <w:spacing w:before="0" w:after="283"/>
              <w:jc w:val="left"/>
              <w:rPr/>
            </w:pPr>
            <w:r>
              <w:rPr/>
              <w:t>  </w:t>
            </w:r>
          </w:p>
        </w:tc>
        <w:tc>
          <w:tcPr>
            <w:tcW w:w="1730" w:type="dxa"/>
            <w:tcBorders/>
            <w:vAlign w:val="bottom"/>
          </w:tcPr>
          <w:p>
            <w:pPr>
              <w:pStyle w:val="TableContents"/>
              <w:pBdr>
                <w:bottom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estimate that the total expenses of this offering, including registration, filing and listing fees, printing fees and legal and accounting expenses, but excluding the underwriting discounts and commissions, will be approximately $6,350,000. We have agreed to reimburse the underwriters for certain of their expenses in an amount up to $40,000. </w:t>
      </w:r>
    </w:p>
    <w:p>
      <w:pPr>
        <w:pStyle w:val="TextBody"/>
        <w:bidi w:val="0"/>
        <w:spacing w:before="160" w:after="0"/>
        <w:jc w:val="left"/>
        <w:rPr>
          <w:rFonts w:ascii="arial" w:hAnsi="arial"/>
          <w:sz w:val="20"/>
        </w:rPr>
      </w:pPr>
      <w:r>
        <w:rPr>
          <w:rFonts w:ascii="arial" w:hAnsi="arial"/>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60" w:after="0"/>
        <w:jc w:val="left"/>
        <w:rPr>
          <w:rFonts w:ascii="arial" w:hAnsi="arial"/>
          <w:sz w:val="20"/>
        </w:rPr>
      </w:pPr>
      <w:r>
        <w:rPr>
          <w:rFonts w:ascii="arial" w:hAnsi="arial"/>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common stock or such other securities, in cash or otherwise), in each case without the prior written consent of J.P. Morgan Securities LLC and BofA Securities, Inc. for a period of 180 days after the date of this prospectus, other than the shares of our common stock to be sold in this offering. The restrictions on our actions, as described above, do not apply to certain transactions, including (i) the issuance of shares of common stock or securities convertible into or exercisable for shares of common stock pursuant to the conversion or exchange of convertible or exchangeable securities or the exercise of warrants or options (including net or cashless exercise) or the settlement of RSUs (including net settlement), in each case outstanding on the date of the underwriting agreement and as described in this prospectus; (ii)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of this offering and as described in this prospectus, provided that such recipients enter into a lock-up agreement with the underwriters; (iii) the issuance of up to 5% of the outstanding shares of common stock, or securities convertible into, exercisable for, or which are otherwise exchangeable for, common stock, immediately following the date of the closing of this offering, in 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w:t>
      </w:r>
    </w:p>
    <w:p>
      <w:pPr>
        <w:pStyle w:val="TextBody"/>
        <w:bidi w:val="0"/>
        <w:spacing w:before="160" w:after="0"/>
        <w:jc w:val="left"/>
        <w:rPr>
          <w:rFonts w:ascii="arial" w:hAnsi="arial"/>
          <w:sz w:val="20"/>
        </w:rPr>
      </w:pPr>
      <w:r>
        <w:rPr>
          <w:rFonts w:ascii="arial" w:hAnsi="arial"/>
          <w:sz w:val="20"/>
        </w:rPr>
        <w:t xml:space="preserve">Our directors and executive officers, and substantially all of our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(including, without limitation, shares of our common stock or such other securities which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may be deemed to be beneficially owned by such lock-up parties in accordance with the rules and regulations of the SEC and securities which may be issued upon exercise of a stock option or warrant (collectively with the shares of our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160" w:after="0"/>
        <w:jc w:val="left"/>
        <w:rPr>
          <w:rFonts w:ascii="arial" w:hAnsi="arial"/>
          <w:sz w:val="20"/>
        </w:rPr>
      </w:pPr>
      <w:r>
        <w:rPr>
          <w:rFonts w:ascii="arial" w:hAnsi="arial"/>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or for bona fide estate planning purposes, (ii) by will, other testamentary document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partners, direct or indirect members, shareholders or other equity holders of the lock-up party; (vii) by operation of law, (viii) to us from an employee upon death, disability or termination of employment of such employee, (ix) as part of a sale or transfer of lock-up securities acquired (A) from the underwriters in this offering if the lock-up party is not a director or officer or (B)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an agreement under which the Company has the option to repurchase shares or a right of first refusal (xii) pursuant to a bona fide third-party tender offer, merger, consolidation or other similar transaction approved by our board of directors and made to all stockholders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conversion or redesignation of a class or series of our common stock into another class or series of common stock; and (e) the establishment by lock-up parties of trading plans under Rule 10b5-1 under the Exchange Act, provided that such plan does not provide for the transfer of lock-up securities during the restricted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J.P. Morgan Securities LLC and BofA Securities, Inc., in their sole discretion, may release the securities subject to any of the lock-up agreements with the underwriters described above, in whole or in part at any time. </w:t>
      </w:r>
    </w:p>
    <w:p>
      <w:pPr>
        <w:pStyle w:val="TextBody"/>
        <w:bidi w:val="0"/>
        <w:spacing w:before="160" w:after="0"/>
        <w:jc w:val="left"/>
        <w:rPr>
          <w:rFonts w:ascii="arial" w:hAnsi="arial"/>
          <w:sz w:val="20"/>
        </w:rPr>
      </w:pPr>
      <w:r>
        <w:rPr>
          <w:rFonts w:ascii="arial" w:hAnsi="arial"/>
          <w:sz w:val="20"/>
        </w:rPr>
        <w:t xml:space="preserve">We have agreed to indemnify the underwriters against certain liabilities, including liabilities under the Securities Act. </w:t>
      </w:r>
    </w:p>
    <w:p>
      <w:pPr>
        <w:pStyle w:val="TextBody"/>
        <w:bidi w:val="0"/>
        <w:spacing w:before="160" w:after="0"/>
        <w:jc w:val="left"/>
        <w:rPr>
          <w:rFonts w:ascii="arial" w:hAnsi="arial"/>
          <w:sz w:val="20"/>
        </w:rPr>
      </w:pPr>
      <w:r>
        <w:rPr>
          <w:rFonts w:ascii="arial" w:hAnsi="arial"/>
          <w:sz w:val="20"/>
        </w:rPr>
        <w:t xml:space="preserve">Our common stock has been approved for listing on Nasdaq under the symbol “ALMR.” </w:t>
      </w:r>
    </w:p>
    <w:p>
      <w:pPr>
        <w:pStyle w:val="TextBody"/>
        <w:bidi w:val="0"/>
        <w:spacing w:before="160" w:after="0"/>
        <w:jc w:val="left"/>
        <w:rPr>
          <w:rFonts w:ascii="arial" w:hAnsi="arial"/>
          <w:sz w:val="20"/>
        </w:rPr>
      </w:pPr>
      <w:r>
        <w:rPr>
          <w:rFonts w:ascii="arial" w:hAnsi="arial"/>
          <w:sz w:val="20"/>
        </w:rPr>
        <w:t xml:space="preserve">In connection with this offering, the underwriters may engage in stabilizing transactions, which involves making bids for, purchasing and selling shares of our common stock in the open market for the purpose of preventing or retarding a decline in the market price of the common stock while this offering is in progress. These stabilizing transactions may include making short sales of our common stock, which involves the sale by the underwriters of a greater number of shares of our common stock than they are required to purchase in this offering, and purchasing shares of our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160" w:after="0"/>
        <w:jc w:val="left"/>
        <w:rPr>
          <w:rFonts w:ascii="arial" w:hAnsi="arial"/>
          <w:sz w:val="20"/>
        </w:rPr>
      </w:pPr>
      <w:r>
        <w:rPr>
          <w:rFonts w:ascii="arial" w:hAnsi="arial"/>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shares of our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160" w:after="0"/>
        <w:jc w:val="left"/>
        <w:rPr>
          <w:rFonts w:ascii="arial" w:hAnsi="arial"/>
          <w:sz w:val="20"/>
        </w:rPr>
      </w:pPr>
      <w:r>
        <w:rPr>
          <w:rFonts w:ascii="arial" w:hAnsi="arial"/>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The initial public offering price was determined by negotiations between us and the representatives of the underwriters. In determining the initial public offering price, we and the representatives of the underwriters considered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general condition of the securities markets at the time of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other factors deemed relevant by the underwriters and us. </w:t>
            </w:r>
          </w:p>
        </w:tc>
      </w:tr>
    </w:tbl>
    <w:p>
      <w:pPr>
        <w:pStyle w:val="TextBody"/>
        <w:bidi w:val="0"/>
        <w:spacing w:before="160" w:after="0"/>
        <w:jc w:val="left"/>
        <w:rPr>
          <w:rFonts w:ascii="arial" w:hAnsi="arial"/>
          <w:sz w:val="20"/>
        </w:rPr>
      </w:pPr>
      <w:r>
        <w:rPr>
          <w:rFonts w:ascii="arial" w:hAnsi="arial"/>
          <w:sz w:val="20"/>
        </w:rPr>
        <w:t xml:space="preserve">Neither we nor the underwriters can assure investors that an active trading market will develop for the shares of our common stock, or that the shares will trade in the public market at or above the initial public offering price. </w:t>
      </w:r>
    </w:p>
    <w:p>
      <w:pPr>
        <w:pStyle w:val="TextBody"/>
        <w:bidi w:val="0"/>
        <w:spacing w:before="160" w:after="0"/>
        <w:jc w:val="left"/>
        <w:rPr>
          <w:rFonts w:ascii="arial" w:hAnsi="arial"/>
          <w:sz w:val="20"/>
        </w:rPr>
      </w:pPr>
      <w:r>
        <w:rPr>
          <w:rFonts w:ascii="arial" w:hAnsi="arial"/>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160" w:after="0"/>
        <w:jc w:val="left"/>
        <w:rPr>
          <w:rFonts w:ascii="arial" w:hAnsi="arial"/>
          <w:sz w:val="20"/>
        </w:rPr>
      </w:pPr>
      <w:r>
        <w:rPr>
          <w:rFonts w:ascii="arial" w:hAnsi="arial"/>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20" w:after="0"/>
        <w:jc w:val="left"/>
        <w:rPr>
          <w:rFonts w:ascii="arial" w:hAnsi="arial"/>
          <w:b/>
          <w:sz w:val="24"/>
        </w:rPr>
      </w:pPr>
      <w:r>
        <w:rPr>
          <w:rFonts w:ascii="arial" w:hAnsi="arial"/>
          <w:b/>
          <w:sz w:val="24"/>
        </w:rPr>
        <w:t xml:space="preserve">Selling restrictions </w:t>
      </w:r>
    </w:p>
    <w:p>
      <w:pPr>
        <w:pStyle w:val="TextBody"/>
        <w:bidi w:val="0"/>
        <w:spacing w:before="160" w:after="0"/>
        <w:jc w:val="left"/>
        <w:rPr>
          <w:rFonts w:ascii="arial" w:hAnsi="arial"/>
          <w:sz w:val="20"/>
        </w:rPr>
      </w:pPr>
      <w:r>
        <w:rPr>
          <w:rFonts w:ascii="arial" w:hAnsi="arial"/>
          <w:b/>
          <w:i/>
          <w:sz w:val="20"/>
        </w:rPr>
        <w:t>Notice to prospective investors in Canada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 </w:t>
      </w:r>
    </w:p>
    <w:p>
      <w:pPr>
        <w:pStyle w:val="TextBody"/>
        <w:bidi w:val="0"/>
        <w:spacing w:before="16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6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Notice to prospective investors in the European Economic Area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In relation to each Member State of the European Economic Area (each a “Relevant State”), no shares of our common stock have been offered or will be offered pursuant to this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of our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(b)</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fewer than 150 natural or legal persons (other than qualified investors as defined under Article 2 of the Prospectus Regulation), subject to obtaining the prior consent of the representatives;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1(4) of the Prospectus Regulation, </w:t>
            </w:r>
          </w:p>
        </w:tc>
      </w:tr>
    </w:tbl>
    <w:p>
      <w:pPr>
        <w:pStyle w:val="TextBody"/>
        <w:bidi w:val="0"/>
        <w:spacing w:before="160" w:after="0"/>
        <w:jc w:val="left"/>
        <w:rPr>
          <w:rFonts w:ascii="arial" w:hAnsi="arial"/>
          <w:sz w:val="20"/>
        </w:rPr>
      </w:pPr>
      <w:r>
        <w:rPr>
          <w:rFonts w:ascii="arial" w:hAnsi="arial"/>
          <w:sz w:val="20"/>
        </w:rPr>
        <w:t xml:space="preserve">provided that (i) no such offer of shares of our common stock shall require us or any underwriter to publish a prospectus pursuant to Article 3 of the Prospectus Regulation or supplement a prospectus pursuant to Article 23 of the Prospectus Regulation and (ii) each person who initially acquires any shares of our common stock or to whom any offer is made will be deemed to have represented, acknowledged and agreed to and with each of the underwriters and the company that it is a “qualified investor” within the meaning of Article 2(e) of the Prospectus Regulation. In the case of any shares of our common stock being offered to a financial intermediary as that term is used in the Prospectus Regulation, each such financial intermediary will be deemed to have represented, acknowledged and agreed that such shares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shares of our common stock in any Relevant State means the communication in any form and by any means of sufficient information on the terms of the offer and any shares of our common stock to be offered so as to enable an investor to decide to purchase or subscribe for any such shares, and the expression “Prospectus Regulation” means Regulation (EU) 2017/1129. </w:t>
      </w:r>
    </w:p>
    <w:p>
      <w:pPr>
        <w:pStyle w:val="TextBody"/>
        <w:bidi w:val="0"/>
        <w:spacing w:before="320" w:after="0"/>
        <w:jc w:val="left"/>
        <w:rPr>
          <w:rFonts w:ascii="arial" w:hAnsi="arial"/>
          <w:sz w:val="20"/>
        </w:rPr>
      </w:pPr>
      <w:r>
        <w:rPr>
          <w:rFonts w:ascii="arial" w:hAnsi="arial"/>
          <w:b/>
          <w:i/>
          <w:sz w:val="20"/>
        </w:rPr>
        <w:t>Notice to prospective investors in the United Kingdom</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pursuant to this offering to the public in the United Kingdom prior to the publication of a prospectus in relation to such shares which is to be treated as if it had been approved by the Financial Conduct Authority in accordance with the transitional provisions in Article 74 (transitional provisions) of the Prospectus Amendment etc. (EU Exit) Regulations 2019/1234, except that such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any legal entity which is a qualified investor as defined under Article 2 of the UK Prospectus Regulation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to fewer than 150 natural or legal persons (other than qualified investors as defined under Article 2 of the UK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Section 86 of the Financial Services and Markets Act of 2000 (FSMA),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provided that no such offer of shares of our common stock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of our common stock in the United Kingdom means the communication in any form and by any means of sufficient information on the terms of the offer and any such shares to be offered so as to enable an investor to decide to purchase or subscribe for any such shares and the expression “UK Prospectus Regulation” means Regulation (EU) 2017/1129 as it forms part of domestic law by virtue of the European Union (Withdrawal) Act 2018. </w:t>
      </w:r>
    </w:p>
    <w:p>
      <w:pPr>
        <w:pStyle w:val="TextBody"/>
        <w:bidi w:val="0"/>
        <w:spacing w:before="160" w:after="0"/>
        <w:jc w:val="left"/>
        <w:rPr>
          <w:rFonts w:ascii="arial" w:hAnsi="arial"/>
          <w:sz w:val="20"/>
        </w:rPr>
      </w:pPr>
      <w:r>
        <w:rPr>
          <w:rFonts w:ascii="arial" w:hAnsi="arial"/>
          <w:sz w:val="20"/>
        </w:rPr>
        <w:t xml:space="preserve">In addition, in the United Kingdom, this prospectus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United Kingdom within the meaning of the FSMA. </w:t>
      </w:r>
    </w:p>
    <w:p>
      <w:pPr>
        <w:pStyle w:val="TextBody"/>
        <w:bidi w:val="0"/>
        <w:spacing w:before="160" w:after="0"/>
        <w:jc w:val="left"/>
        <w:rPr>
          <w:rFonts w:ascii="arial" w:hAnsi="arial"/>
          <w:sz w:val="20"/>
        </w:rPr>
      </w:pPr>
      <w:r>
        <w:rPr>
          <w:rFonts w:ascii="arial" w:hAnsi="arial"/>
          <w:sz w:val="20"/>
        </w:rPr>
        <w:t xml:space="preserve">Any person in the United Kingdom that is not a relevant person should not act or rely on the information included in this prospectus or use it as basis for taking any action. In the United Kingdom, any investment or investment activity that this prospectus relates to may be made or taken exclusively by relevant persons. </w:t>
      </w:r>
    </w:p>
    <w:p>
      <w:pPr>
        <w:pStyle w:val="TextBody"/>
        <w:bidi w:val="0"/>
        <w:spacing w:before="320" w:after="0"/>
        <w:jc w:val="left"/>
        <w:rPr>
          <w:rFonts w:ascii="arial" w:hAnsi="arial"/>
          <w:sz w:val="20"/>
        </w:rPr>
      </w:pPr>
      <w:r>
        <w:rPr>
          <w:rFonts w:ascii="arial" w:hAnsi="arial"/>
          <w:b/>
          <w:i/>
          <w:sz w:val="20"/>
        </w:rPr>
        <w:t>Notice to prospective investors in Switzerland</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to the public in Switzerland, except that offers of shares of our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to fewer than 500 persons (other than professional clients as defined under the FinSA),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36 FinSA in connection with Article 44 of the Swiss Financial Services Ordinance, </w:t>
            </w:r>
          </w:p>
        </w:tc>
      </w:tr>
    </w:tbl>
    <w:p>
      <w:pPr>
        <w:pStyle w:val="TextBody"/>
        <w:bidi w:val="0"/>
        <w:spacing w:before="160" w:after="0"/>
        <w:jc w:val="left"/>
        <w:rPr>
          <w:rFonts w:ascii="arial" w:hAnsi="arial"/>
          <w:sz w:val="20"/>
        </w:rPr>
      </w:pPr>
      <w:r>
        <w:rPr>
          <w:rFonts w:ascii="arial" w:hAnsi="arial"/>
          <w:sz w:val="20"/>
        </w:rPr>
        <w:t xml:space="preserve">provided that no such offer of shares of our common stock shall require the company or any underwriter to publish a prospectus pursuant to Article 35 FinSA.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listed or admitted to trading on a trading venue in Switzerland. </w:t>
      </w:r>
    </w:p>
    <w:p>
      <w:pPr>
        <w:pStyle w:val="TextBody"/>
        <w:bidi w:val="0"/>
        <w:spacing w:before="160" w:after="0"/>
        <w:jc w:val="left"/>
        <w:rPr>
          <w:rFonts w:ascii="arial" w:hAnsi="arial"/>
          <w:sz w:val="20"/>
        </w:rPr>
      </w:pPr>
      <w:r>
        <w:rPr>
          <w:rFonts w:ascii="arial" w:hAnsi="arial"/>
          <w:sz w:val="20"/>
        </w:rPr>
        <w:t xml:space="preserve">Neither this prospectus nor any other offering or marketing material relating to the shares of our common stock constitutes a prospectus as such term is understood pursuant to the FinSA and neither this prospectus nor any other offering or marketing material relating to the shares of our common stock may be publicly distributed or otherwise made publicly available in Switzerland. </w:t>
      </w:r>
    </w:p>
    <w:p>
      <w:pPr>
        <w:pStyle w:val="TextBody"/>
        <w:bidi w:val="0"/>
        <w:spacing w:before="320" w:after="0"/>
        <w:jc w:val="left"/>
        <w:rPr>
          <w:rFonts w:ascii="arial" w:hAnsi="arial"/>
          <w:sz w:val="20"/>
        </w:rPr>
      </w:pPr>
      <w:r>
        <w:rPr>
          <w:rFonts w:ascii="arial" w:hAnsi="arial"/>
          <w:b/>
          <w:i/>
          <w:sz w:val="20"/>
        </w:rPr>
        <w:t>Notice to prospective investors in Australia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(a)</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160" w:after="0"/>
        <w:jc w:val="left"/>
        <w:rPr>
          <w:rFonts w:ascii="arial" w:hAnsi="arial"/>
          <w:sz w:val="20"/>
        </w:rPr>
      </w:pPr>
      <w:r>
        <w:rPr>
          <w:rFonts w:ascii="arial" w:hAnsi="arial"/>
          <w:sz w:val="20"/>
        </w:rPr>
        <w:t xml:space="preserve">The shares of our common stock may not be directly or indirectly offered for subscription or purchased or sold, and no invitations to subscribe for or buy such shares may be issued, and no draft or definitive offering memorandum, advertisement or other offering material relating to any such shares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before="160" w:after="0"/>
        <w:jc w:val="left"/>
        <w:rPr>
          <w:rFonts w:ascii="arial" w:hAnsi="arial"/>
          <w:sz w:val="20"/>
        </w:rPr>
      </w:pPr>
      <w:r>
        <w:rPr>
          <w:rFonts w:ascii="arial" w:hAnsi="arial"/>
          <w:sz w:val="20"/>
        </w:rPr>
        <w:t xml:space="preserve">As any offer of shares of our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such shares, offer, transfer, assign or otherwise alienate such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20" w:after="0"/>
        <w:jc w:val="left"/>
        <w:rPr>
          <w:rFonts w:ascii="arial" w:hAnsi="arial"/>
          <w:sz w:val="20"/>
        </w:rPr>
      </w:pPr>
      <w:r>
        <w:rPr>
          <w:rFonts w:ascii="arial" w:hAnsi="arial"/>
          <w:b/>
          <w:i/>
          <w:sz w:val="20"/>
        </w:rPr>
        <w:t>Notice to prospective investors in Japan</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pursuant to Article 4, Paragraph 1 of the Financial Instruments and Exchange Act of Japan.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of Japan and any other applicable laws, regulations and ministerial guidelines of Japan in effect at the relevant time. </w:t>
      </w:r>
    </w:p>
    <w:p>
      <w:pPr>
        <w:pStyle w:val="TextBody"/>
        <w:bidi w:val="0"/>
        <w:spacing w:before="320" w:after="0"/>
        <w:jc w:val="left"/>
        <w:rPr>
          <w:rFonts w:ascii="arial" w:hAnsi="arial"/>
          <w:sz w:val="20"/>
        </w:rPr>
      </w:pPr>
      <w:r>
        <w:rPr>
          <w:rFonts w:ascii="arial" w:hAnsi="arial"/>
          <w:b/>
          <w:i/>
          <w:sz w:val="20"/>
        </w:rPr>
        <w:t>Notice to prospective investors in Hong Kong</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SFO and any rules made thereunder.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Notice to prospective investors in Singapore</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Each book-running manager has acknowledged that this prospectus has not been registered as a prospectus with the Monetary Authority of Singapore. Accordingly, each book-running manager has represented and agreed that it has not offered or sold any shares of our common stock or caused such shares to be made the subject of an invitation for subscription or purchase and will not offer or sell any shares of our common stock or cause such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our common stock,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otherwise pursuant to, and in accordance with the conditions of, any other applicable provision of the SFA. </w:t>
            </w:r>
          </w:p>
        </w:tc>
      </w:tr>
    </w:tbl>
    <w:p>
      <w:pPr>
        <w:pStyle w:val="TextBody"/>
        <w:bidi w:val="0"/>
        <w:spacing w:before="160" w:after="0"/>
        <w:jc w:val="left"/>
        <w:rPr>
          <w:rFonts w:ascii="arial" w:hAnsi="arial"/>
          <w:sz w:val="20"/>
        </w:rPr>
      </w:pPr>
      <w:r>
        <w:rPr>
          <w:rFonts w:ascii="arial" w:hAnsi="arial"/>
          <w:sz w:val="20"/>
        </w:rPr>
        <w:t xml:space="preserve">Where the shares of our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(b)</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160" w:after="0"/>
        <w:jc w:val="left"/>
        <w:rPr>
          <w:rFonts w:ascii="arial" w:hAnsi="arial"/>
          <w:sz w:val="20"/>
        </w:rPr>
      </w:pPr>
      <w:r>
        <w:rPr>
          <w:rFonts w:ascii="arial" w:hAnsi="arial"/>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(iv)</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(v)</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as specified in Regulation 37A of the Securities and Futures (Offers of Investments) (Securities and Securities-based Derivatives Contracts) Regulations 2018. </w:t>
            </w:r>
          </w:p>
        </w:tc>
      </w:tr>
    </w:tbl>
    <w:p>
      <w:pPr>
        <w:pStyle w:val="TextBody"/>
        <w:bidi w:val="0"/>
        <w:spacing w:before="320" w:after="0"/>
        <w:jc w:val="left"/>
        <w:rPr>
          <w:rFonts w:ascii="arial" w:hAnsi="arial"/>
          <w:sz w:val="20"/>
        </w:rPr>
      </w:pPr>
      <w:r>
        <w:rPr>
          <w:rFonts w:ascii="arial" w:hAnsi="arial"/>
          <w:b/>
          <w:i/>
          <w:sz w:val="20"/>
        </w:rPr>
        <w:t>Notice to prospective investors in China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will not be circulated or distributed in the People’s Republic of China (PRC) and the shares of our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Notice to prospective investors in Korea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under the Financial Investments Services and Capital Markets Act of Korea and the decrees and regulations thereunder (the “FSCMA”), and such shares have been and will be offered in Korea as a private placement under the FSCMA. None of the shares of our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of our common stock shall comply with all applicable regulatory requirements (including but not limited to requirements under the FETL) in connection with the purchase of such shares. By the purchase of the shares of our common stock, the relevant holder thereof will be deemed to represent and warrant that if it is in Korea or is a resident of Korea, it purchased such shares pursuant to the applicable laws and regulations of Korea. </w:t>
      </w:r>
    </w:p>
    <w:p>
      <w:pPr>
        <w:pStyle w:val="TextBody"/>
        <w:bidi w:val="0"/>
        <w:spacing w:before="320" w:after="0"/>
        <w:jc w:val="left"/>
        <w:rPr>
          <w:rFonts w:ascii="arial" w:hAnsi="arial"/>
          <w:sz w:val="20"/>
        </w:rPr>
      </w:pPr>
      <w:r>
        <w:rPr>
          <w:rFonts w:ascii="arial" w:hAnsi="arial"/>
          <w:b/>
          <w:i/>
          <w:sz w:val="20"/>
        </w:rPr>
        <w:t>Notice to Prospective Investors in Malaysia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No prospectus or other offering material or document in connection with the offer and sale of the shares of our common stock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shares of our common stock may not be circulated or distributed, nor may such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our common stock, as principal, if the offer is on terms that such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our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20" w:after="0"/>
        <w:jc w:val="left"/>
        <w:rPr>
          <w:rFonts w:ascii="arial" w:hAnsi="arial"/>
          <w:sz w:val="20"/>
        </w:rPr>
      </w:pPr>
      <w:r>
        <w:rPr>
          <w:rFonts w:ascii="arial" w:hAnsi="arial"/>
          <w:b/>
          <w:i/>
          <w:sz w:val="20"/>
        </w:rPr>
        <w:t>Notice to prospective investors in Taiwan</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our common stock in Taiwan. </w:t>
      </w:r>
    </w:p>
    <w:p>
      <w:pPr>
        <w:pStyle w:val="TextBody"/>
        <w:bidi w:val="0"/>
        <w:spacing w:before="320" w:after="0"/>
        <w:jc w:val="left"/>
        <w:rPr>
          <w:rFonts w:ascii="arial" w:hAnsi="arial"/>
          <w:sz w:val="20"/>
        </w:rPr>
      </w:pPr>
      <w:r>
        <w:rPr>
          <w:rFonts w:ascii="arial" w:hAnsi="arial"/>
          <w:b/>
          <w:i/>
          <w:sz w:val="20"/>
        </w:rPr>
        <w:t>Notice to prospective investors in Bermuda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Shares of our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20" w:after="0"/>
        <w:jc w:val="left"/>
        <w:rPr>
          <w:rFonts w:ascii="arial" w:hAnsi="arial"/>
          <w:sz w:val="20"/>
        </w:rPr>
      </w:pPr>
      <w:r>
        <w:rPr>
          <w:rFonts w:ascii="arial" w:hAnsi="arial"/>
          <w:b/>
          <w:i/>
          <w:sz w:val="20"/>
        </w:rPr>
        <w:t>Notice to prospective investors in Saudi Arabia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may not be distributed in the Kingdom of Saudi Arabia except to such persons as are permitted under the Rules on the Offer of Securities and Continuing Obligations Regulations as issued by the board of the Saudi Arabian Capital Market Authority (the “CMA”) pursuant to resolution number 3-123-2017 dated 27 December 2017,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 </w:t>
      </w:r>
    </w:p>
    <w:p>
      <w:pPr>
        <w:pStyle w:val="TextBody"/>
        <w:bidi w:val="0"/>
        <w:spacing w:before="320" w:after="0"/>
        <w:jc w:val="left"/>
        <w:rPr>
          <w:rFonts w:ascii="arial" w:hAnsi="arial"/>
          <w:sz w:val="20"/>
        </w:rPr>
      </w:pPr>
      <w:r>
        <w:rPr>
          <w:rFonts w:ascii="arial" w:hAnsi="arial"/>
          <w:b/>
          <w:i/>
          <w:sz w:val="20"/>
        </w:rPr>
        <w:t>Notice to prospective investors in the Dubai International Financial Centre (the “DIFC</w:t>
      </w:r>
      <w:r>
        <w:rPr>
          <w:rFonts w:ascii="arial" w:hAnsi="arial"/>
          <w:sz w:val="20"/>
        </w:rPr>
        <w:t>”</w:t>
      </w:r>
      <w:r>
        <w:rPr>
          <w:rFonts w:ascii="arial" w:hAnsi="arial"/>
          <w:b/>
          <w:i/>
          <w:sz w:val="20"/>
        </w:rPr>
        <w: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relates to an Exempt Offer in accordance with and as defined in the Markets Law, DIFC Law No. 1 of 2012, as amended. This prospectus is intended for distribution only to persons of a type specified in the Markets Law, DIFC Law No. 1 of 2012, as amended. It must not be delivered to, or relied on by, any other person. The Dubai Financial Services Authority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 </w:t>
      </w:r>
    </w:p>
    <w:p>
      <w:pPr>
        <w:pStyle w:val="TextBody"/>
        <w:bidi w:val="0"/>
        <w:spacing w:before="160" w:after="0"/>
        <w:jc w:val="left"/>
        <w:rPr>
          <w:rFonts w:ascii="arial" w:hAnsi="arial"/>
          <w:sz w:val="20"/>
        </w:rPr>
      </w:pPr>
      <w:r>
        <w:rPr>
          <w:rFonts w:ascii="arial" w:hAnsi="arial"/>
          <w:sz w:val="20"/>
        </w:rPr>
        <w:t xml:space="preserve">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20" w:after="0"/>
        <w:jc w:val="left"/>
        <w:rPr>
          <w:rFonts w:ascii="arial" w:hAnsi="arial"/>
          <w:sz w:val="20"/>
        </w:rPr>
      </w:pPr>
      <w:r>
        <w:rPr>
          <w:rFonts w:ascii="arial" w:hAnsi="arial"/>
          <w:b/>
          <w:i/>
          <w:sz w:val="20"/>
        </w:rPr>
        <w:t>Notice to prospective investors in the United Arab Emirates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Financial Services Regulatory Authority or the DFSA.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Notice to prospective investors in the British Virgin Islands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are not being, and may not be offered to the public or to any person in the British Virgin Islands for purchase or subscription by or on behalf of the company. The shares of our common stock may be offered to companies incorporated under the BVI Business Companies Act, 2004 (British Virgin Islands), but only where the offer will be made to, and received by, the relevant BVI Company entirely outside of the British Virgin Islands. </w:t>
      </w:r>
    </w:p>
    <w:p>
      <w:pPr>
        <w:pStyle w:val="TextBody"/>
        <w:bidi w:val="0"/>
        <w:spacing w:before="320" w:after="0"/>
        <w:jc w:val="left"/>
        <w:rPr>
          <w:rFonts w:ascii="arial" w:hAnsi="arial"/>
          <w:sz w:val="20"/>
        </w:rPr>
      </w:pPr>
      <w:r>
        <w:rPr>
          <w:rFonts w:ascii="arial" w:hAnsi="arial"/>
          <w:b/>
          <w:i/>
          <w:sz w:val="20"/>
        </w:rPr>
        <w:t>Notice to prospective investors in South Africa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shares of our common stock in South Africa. Accordingly, this prospectus does not, nor is it intended to, constitute a “registered prospectus” (as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our common stock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160" w:after="0"/>
        <w:jc w:val="left"/>
        <w:rPr>
          <w:rFonts w:ascii="arial" w:hAnsi="arial"/>
          <w:sz w:val="20"/>
        </w:rPr>
      </w:pPr>
      <w:r>
        <w:rPr>
          <w:rFonts w:ascii="arial" w:hAnsi="arial"/>
          <w:sz w:val="20"/>
        </w:rPr>
        <w:t xml:space="preserve">Section 96 (1) (a): the offer, transfer, sale, renunciation or delivery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(i)</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persons whose ordinary business, or part of whose ordinary business, is to deal in securities, as principal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South African Public Investment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persons or entities regulated by the Reserve Bank of South Africa;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(iv)</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authorized financial service providers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(v)</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financial institutions recognized as such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(vi)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 wholly-owned subsidiary of any person or entity contemplated in (c), (d) or (e), acting as agent in the capacity of an authorized portfolio manager for a pension fund, or as manager for a collective investment scheme (in each case duly registered as such under South African law); or </w:t>
            </w:r>
          </w:p>
        </w:tc>
      </w:tr>
    </w:tbl>
    <w:p>
      <w:pPr>
        <w:pStyle w:val="TextBody"/>
        <w:bidi w:val="0"/>
        <w:spacing w:before="160" w:after="0"/>
        <w:jc w:val="left"/>
        <w:rPr>
          <w:rFonts w:ascii="arial" w:hAnsi="arial"/>
          <w:sz w:val="20"/>
        </w:rPr>
      </w:pPr>
      <w:r>
        <w:rPr>
          <w:rFonts w:ascii="arial" w:hAnsi="arial"/>
          <w:sz w:val="20"/>
        </w:rPr>
        <w:t xml:space="preserve">(vii) any combination of the persons in (i) to (vi); or </w:t>
      </w:r>
    </w:p>
    <w:p>
      <w:pPr>
        <w:pStyle w:val="TextBody"/>
        <w:bidi w:val="0"/>
        <w:spacing w:before="160" w:after="0"/>
        <w:jc w:val="left"/>
        <w:rPr>
          <w:rFonts w:ascii="arial" w:hAnsi="arial"/>
          <w:sz w:val="20"/>
        </w:rPr>
      </w:pPr>
      <w:r>
        <w:rPr>
          <w:rFonts w:ascii="arial" w:hAnsi="arial"/>
          <w:sz w:val="20"/>
        </w:rPr>
        <w:t xml:space="preserve">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p>
    <w:p>
      <w:pPr>
        <w:pStyle w:val="TextBody"/>
        <w:bidi w:val="0"/>
        <w:spacing w:before="160" w:after="0"/>
        <w:jc w:val="left"/>
        <w:rPr>
          <w:rFonts w:ascii="arial" w:hAnsi="arial"/>
          <w:sz w:val="20"/>
        </w:rPr>
      </w:pPr>
      <w:r>
        <w:rPr>
          <w:rFonts w:ascii="arial" w:hAnsi="arial"/>
          <w:sz w:val="20"/>
        </w:rPr>
        <w:t xml:space="preserve">Information made available in this prospectus should not be considered as “advice” as defined in the South African Financial Advisory and Intermediary Services Act, 2002.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4" w:name="toc39680_19"/>
      <w:bookmarkEnd w:id="24"/>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The validity of the shares of common stock being offered by this prospectus will be passed upon for us by Cooley LLP, San Francisco, California. Certain legal matters in connection with this offering will be passed upon for the underwriters by Latham &amp; Watkins LLP. As of the date of this prospectus, GC&amp;H Investments, LLC, an entity comprised of partners and associates of Cooley LLP, beneficially owns an aggregate of 11,534 shares of our common stock issuable upon conversion of $166,666.67 aggregate principal amount of our Convertible Notes, based on the initial public offering price of $17.00 per share, which conversion will occur automatically upon the closing of this offering without interest. </w:t>
      </w:r>
    </w:p>
    <w:p>
      <w:pPr>
        <w:pStyle w:val="TextBody"/>
        <w:bidi w:val="0"/>
        <w:spacing w:before="320" w:after="0"/>
        <w:jc w:val="left"/>
        <w:rPr>
          <w:rFonts w:ascii="arial" w:hAnsi="arial"/>
          <w:b/>
          <w:sz w:val="32"/>
        </w:rPr>
      </w:pPr>
      <w:bookmarkStart w:id="25" w:name="toc39680_20"/>
      <w:bookmarkEnd w:id="25"/>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Ernst &amp; Young LLP, independent registered public accounting firm, has audited our consolidated financial statements at December 31, 2025 and 2024, and for each of the two years in the period ended December 31, 2025, as set forth in their report. We have included our consolidated financial statements in the prospectus and elsewhere in the registration statement in reliance on Ernst &amp; Young LLP’s report, given on their authority as experts in accounting and auditing. </w:t>
      </w:r>
    </w:p>
    <w:p>
      <w:pPr>
        <w:pStyle w:val="TextBody"/>
        <w:bidi w:val="0"/>
        <w:spacing w:before="320" w:after="0"/>
        <w:jc w:val="left"/>
        <w:rPr>
          <w:rFonts w:ascii="arial" w:hAnsi="arial"/>
          <w:b/>
          <w:sz w:val="32"/>
        </w:rPr>
      </w:pPr>
      <w:bookmarkStart w:id="26" w:name="toc39680_21"/>
      <w:bookmarkEnd w:id="26"/>
      <w:r>
        <w:rPr>
          <w:rFonts w:ascii="arial" w:hAnsi="arial"/>
          <w:b/>
          <w:sz w:val="32"/>
        </w:rPr>
        <w:t xml:space="preserve">Where you can find additional information </w:t>
      </w:r>
    </w:p>
    <w:p>
      <w:pPr>
        <w:pStyle w:val="TextBody"/>
        <w:bidi w:val="0"/>
        <w:spacing w:before="160" w:after="0"/>
        <w:jc w:val="left"/>
        <w:rPr>
          <w:rFonts w:ascii="arial" w:hAnsi="arial"/>
          <w:sz w:val="20"/>
        </w:rPr>
      </w:pPr>
      <w:r>
        <w:rPr>
          <w:rFonts w:ascii="arial" w:hAnsi="arial"/>
          <w:sz w:val="20"/>
        </w:rPr>
        <w:t xml:space="preserve">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60" w:after="0"/>
        <w:jc w:val="left"/>
        <w:rPr>
          <w:rFonts w:ascii="arial" w:hAnsi="arial"/>
          <w:sz w:val="20"/>
        </w:rPr>
      </w:pPr>
      <w:r>
        <w:rPr>
          <w:rFonts w:ascii="arial" w:hAnsi="arial"/>
          <w:sz w:val="20"/>
        </w:rPr>
        <w:t xml:space="preserve">You can read our SEC filings, including the registration statement, over the internet at the SEC’s website at www.sec.gov. </w:t>
      </w:r>
    </w:p>
    <w:p>
      <w:pPr>
        <w:pStyle w:val="TextBody"/>
        <w:bidi w:val="0"/>
        <w:spacing w:before="160" w:after="0"/>
        <w:jc w:val="left"/>
        <w:rPr>
          <w:rFonts w:ascii="arial" w:hAnsi="arial"/>
          <w:sz w:val="20"/>
        </w:rPr>
      </w:pPr>
      <w:r>
        <w:rPr>
          <w:rFonts w:ascii="arial" w:hAnsi="arial"/>
          <w:sz w:val="20"/>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at the website of the SEC referred to above. We also maintain a website at www.alamarbio.com, at which, following the closing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only an inactive textual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bookmarkStart w:id="27" w:name="toc39680_22"/>
      <w:bookmarkEnd w:id="27"/>
      <w:r>
        <w:rPr>
          <w:rFonts w:ascii="arial" w:hAnsi="arial"/>
          <w:b/>
          <w:sz w:val="32"/>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4"/>
        <w:gridCol w:w="120"/>
        <w:gridCol w:w="60"/>
        <w:gridCol w:w="239"/>
        <w:gridCol w:w="62"/>
      </w:tblGrid>
      <w:tr>
        <w:trPr/>
        <w:tc>
          <w:tcPr>
            <w:tcW w:w="97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9724" w:type="dxa"/>
            <w:tcBorders>
              <w:top w:val="single" w:sz="16" w:space="0" w:color="000000"/>
            </w:tcBorders>
            <w:tcMar>
              <w:top w:w="28" w:type="dxa"/>
            </w:tcMar>
            <w:vAlign w:val="center"/>
          </w:tcPr>
          <w:p>
            <w:pPr>
              <w:pStyle w:val="TableContents"/>
              <w:bidi w:val="0"/>
              <w:spacing w:before="0" w:after="283"/>
              <w:jc w:val="left"/>
              <w:rPr/>
            </w:pPr>
            <w:r>
              <w:rPr/>
              <w:t> </w:t>
            </w:r>
          </w:p>
        </w:tc>
        <w:tc>
          <w:tcPr>
            <w:tcW w:w="48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9724" w:type="dxa"/>
            <w:tcBorders/>
          </w:tcPr>
          <w:p>
            <w:pPr>
              <w:pStyle w:val="TableContents"/>
              <w:bidi w:val="0"/>
              <w:spacing w:before="0" w:after="0"/>
              <w:jc w:val="left"/>
              <w:rPr/>
            </w:pPr>
            <w:hyperlink w:anchor="fin39680_1">
              <w:r>
                <w:rPr>
                  <w:rStyle w:val="InternetLink"/>
                  <w:rFonts w:ascii="arial" w:hAnsi="arial"/>
                  <w:b/>
                  <w:sz w:val="20"/>
                </w:rPr>
                <w:t xml:space="preserve">Report of independent registered public accounting firm </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F-2</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rFonts w:ascii="arial" w:hAnsi="arial"/>
                <w:b/>
                <w:sz w:val="20"/>
              </w:rPr>
            </w:pPr>
            <w:r>
              <w:rPr>
                <w:rFonts w:ascii="arial" w:hAnsi="arial"/>
                <w:b/>
                <w:sz w:val="20"/>
              </w:rPr>
              <w:t>Consolidated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2">
              <w:r>
                <w:rPr>
                  <w:rStyle w:val="InternetLink"/>
                  <w:rFonts w:ascii="arial" w:hAnsi="arial"/>
                  <w:sz w:val="20"/>
                </w:rPr>
                <w:t>Consolidated balance sheets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F-3</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3">
              <w:r>
                <w:rPr>
                  <w:rStyle w:val="InternetLink"/>
                  <w:rFonts w:ascii="arial" w:hAnsi="arial"/>
                  <w:sz w:val="20"/>
                </w:rPr>
                <w:t>Consolidated statements of operations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F-4</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4">
              <w:r>
                <w:rPr>
                  <w:rStyle w:val="InternetLink"/>
                  <w:rFonts w:ascii="arial" w:hAnsi="arial"/>
                  <w:sz w:val="20"/>
                </w:rPr>
                <w:t>Consolidated statements of comprehensive loss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F-5</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5">
              <w:r>
                <w:rPr>
                  <w:rStyle w:val="InternetLink"/>
                  <w:rFonts w:ascii="arial" w:hAnsi="arial"/>
                  <w:sz w:val="20"/>
                </w:rPr>
                <w:t>Consolidated statements of convertible preferred stock and stockholders’ deficit</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F-6</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6">
              <w:r>
                <w:rPr>
                  <w:rStyle w:val="InternetLink"/>
                  <w:rFonts w:ascii="arial" w:hAnsi="arial"/>
                  <w:sz w:val="20"/>
                </w:rPr>
                <w:t>Consolidated statements of cash flows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F-7</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7">
              <w:r>
                <w:rPr>
                  <w:rStyle w:val="InternetLink"/>
                  <w:rFonts w:ascii="arial" w:hAnsi="arial"/>
                  <w:sz w:val="20"/>
                </w:rPr>
                <w:t>Notes to consolidated financial statements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F-8</w:t>
            </w:r>
          </w:p>
        </w:tc>
        <w:tc>
          <w:tcPr>
            <w:tcW w:w="62"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8" w:name="fin39680_1"/>
      <w:bookmarkEnd w:id="28"/>
      <w:r>
        <w:rPr>
          <w:rFonts w:ascii="arial" w:hAnsi="arial"/>
          <w:b/>
          <w:sz w:val="32"/>
        </w:rPr>
        <w:t xml:space="preserve">Report of independent registered public accounting firm </w:t>
      </w:r>
    </w:p>
    <w:p>
      <w:pPr>
        <w:pStyle w:val="TextBody"/>
        <w:bidi w:val="0"/>
        <w:spacing w:before="160" w:after="0"/>
        <w:jc w:val="left"/>
        <w:rPr>
          <w:rFonts w:ascii="arial" w:hAnsi="arial"/>
          <w:sz w:val="20"/>
        </w:rPr>
      </w:pPr>
      <w:r>
        <w:rPr>
          <w:rFonts w:ascii="arial" w:hAnsi="arial"/>
          <w:sz w:val="20"/>
        </w:rPr>
        <w:t xml:space="preserve">To the Stockholders and the Board of Directors of </w:t>
      </w:r>
    </w:p>
    <w:p>
      <w:pPr>
        <w:pStyle w:val="TextBody"/>
        <w:bidi w:val="0"/>
        <w:spacing w:before="0" w:after="0"/>
        <w:jc w:val="left"/>
        <w:rPr>
          <w:rFonts w:ascii="arial" w:hAnsi="arial"/>
          <w:sz w:val="20"/>
        </w:rPr>
      </w:pPr>
      <w:r>
        <w:rPr>
          <w:rFonts w:ascii="arial" w:hAnsi="arial"/>
          <w:sz w:val="20"/>
        </w:rPr>
        <w:t xml:space="preserve">Alamar Biosciences, Inc. </w:t>
      </w:r>
    </w:p>
    <w:p>
      <w:pPr>
        <w:pStyle w:val="TextBody"/>
        <w:bidi w:val="0"/>
        <w:spacing w:before="320" w:after="0"/>
        <w:jc w:val="left"/>
        <w:rPr>
          <w:rFonts w:ascii="arial" w:hAnsi="arial"/>
          <w:b/>
          <w:sz w:val="24"/>
        </w:rPr>
      </w:pPr>
      <w:r>
        <w:rPr>
          <w:rFonts w:ascii="arial" w:hAnsi="arial"/>
          <w:b/>
          <w:sz w:val="24"/>
        </w:rPr>
        <w:t xml:space="preserve">Opinion on the financial statements </w:t>
      </w:r>
    </w:p>
    <w:p>
      <w:pPr>
        <w:pStyle w:val="TextBody"/>
        <w:bidi w:val="0"/>
        <w:spacing w:before="160" w:after="0"/>
        <w:jc w:val="left"/>
        <w:rPr>
          <w:rFonts w:ascii="arial" w:hAnsi="arial"/>
          <w:sz w:val="20"/>
        </w:rPr>
      </w:pPr>
      <w:r>
        <w:rPr>
          <w:rFonts w:ascii="arial" w:hAnsi="arial"/>
          <w:sz w:val="20"/>
        </w:rPr>
        <w:t xml:space="preserve">We have audited the accompanying consolidated balance sheets of Alamar Biosciences, Inc. (the Company) as of December 31, 2025 and 2024, the related consolidated statements of operations, comprehensive loss, convertible preferred stock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320" w:after="0"/>
        <w:jc w:val="left"/>
        <w:rPr>
          <w:rFonts w:ascii="arial" w:hAnsi="arial"/>
          <w:b/>
          <w:sz w:val="24"/>
        </w:rPr>
      </w:pPr>
      <w:r>
        <w:rPr>
          <w:rFonts w:ascii="arial" w:hAnsi="arial"/>
          <w:b/>
          <w:sz w:val="24"/>
        </w:rPr>
        <w:t xml:space="preserve">Basis for opinion </w:t>
      </w:r>
    </w:p>
    <w:p>
      <w:pPr>
        <w:pStyle w:val="TextBody"/>
        <w:bidi w:val="0"/>
        <w:spacing w:before="16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60" w:after="0"/>
        <w:jc w:val="left"/>
        <w:rPr>
          <w:rFonts w:ascii="arial" w:hAnsi="arial"/>
          <w:sz w:val="20"/>
        </w:rPr>
      </w:pPr>
      <w:r>
        <w:rPr>
          <w:rFonts w:ascii="arial" w:hAnsi="arial"/>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60" w:after="0"/>
        <w:jc w:val="left"/>
        <w:rPr>
          <w:rFonts w:ascii="arial" w:hAnsi="arial"/>
          <w:sz w:val="20"/>
        </w:rPr>
      </w:pPr>
      <w:r>
        <w:rPr>
          <w:rFonts w:ascii="arial" w:hAnsi="arial"/>
          <w:sz w:val="20"/>
        </w:rPr>
        <w:t xml:space="preserve">/s/ Ernst &amp; Young LLP </w:t>
      </w:r>
    </w:p>
    <w:p>
      <w:pPr>
        <w:pStyle w:val="TextBody"/>
        <w:bidi w:val="0"/>
        <w:spacing w:before="160" w:after="0"/>
        <w:jc w:val="left"/>
        <w:rPr>
          <w:rFonts w:ascii="arial" w:hAnsi="arial"/>
          <w:sz w:val="20"/>
        </w:rPr>
      </w:pPr>
      <w:r>
        <w:rPr>
          <w:rFonts w:ascii="arial" w:hAnsi="arial"/>
          <w:sz w:val="20"/>
        </w:rPr>
        <w:t xml:space="preserve">We have served as the Company’s auditor since 2024. </w:t>
      </w:r>
    </w:p>
    <w:p>
      <w:pPr>
        <w:pStyle w:val="TextBody"/>
        <w:bidi w:val="0"/>
        <w:spacing w:before="160" w:after="0"/>
        <w:jc w:val="left"/>
        <w:rPr>
          <w:rFonts w:ascii="arial" w:hAnsi="arial"/>
          <w:sz w:val="20"/>
        </w:rPr>
      </w:pPr>
      <w:r>
        <w:rPr>
          <w:rFonts w:ascii="arial" w:hAnsi="arial"/>
          <w:sz w:val="20"/>
        </w:rPr>
        <w:t xml:space="preserve">San Jose, California </w:t>
      </w:r>
    </w:p>
    <w:p>
      <w:pPr>
        <w:pStyle w:val="TextBody"/>
        <w:bidi w:val="0"/>
        <w:spacing w:before="160" w:after="0"/>
        <w:jc w:val="left"/>
        <w:rPr>
          <w:rFonts w:ascii="arial" w:hAnsi="arial"/>
          <w:sz w:val="20"/>
        </w:rPr>
      </w:pPr>
      <w:r>
        <w:rPr>
          <w:rFonts w:ascii="arial" w:hAnsi="arial"/>
          <w:sz w:val="20"/>
        </w:rPr>
        <w:t xml:space="preserve">March 12, 2026, </w:t>
      </w:r>
    </w:p>
    <w:p>
      <w:pPr>
        <w:pStyle w:val="TextBody"/>
        <w:bidi w:val="0"/>
        <w:spacing w:before="0" w:after="0"/>
        <w:jc w:val="left"/>
        <w:rPr>
          <w:rFonts w:ascii="arial" w:hAnsi="arial"/>
          <w:sz w:val="20"/>
        </w:rPr>
      </w:pPr>
      <w:r>
        <w:rPr>
          <w:rFonts w:ascii="arial" w:hAnsi="arial"/>
          <w:sz w:val="20"/>
        </w:rPr>
        <w:t xml:space="preserve">except for the effects of the reverse stock split described in Note 17, as to which the date is </w:t>
      </w:r>
    </w:p>
    <w:p>
      <w:pPr>
        <w:pStyle w:val="TextBody"/>
        <w:bidi w:val="0"/>
        <w:spacing w:before="0" w:after="0"/>
        <w:jc w:val="left"/>
        <w:rPr>
          <w:rFonts w:ascii="arial" w:hAnsi="arial"/>
          <w:sz w:val="20"/>
        </w:rPr>
      </w:pPr>
      <w:r>
        <w:rPr>
          <w:rFonts w:ascii="arial" w:hAnsi="arial"/>
          <w:sz w:val="20"/>
        </w:rPr>
        <w:t xml:space="preserve">April 13,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29" w:name="fin39680_2"/>
      <w:bookmarkEnd w:id="29"/>
      <w:r>
        <w:rPr>
          <w:rFonts w:ascii="arial" w:hAnsi="arial"/>
          <w:b/>
          <w:sz w:val="28"/>
        </w:rPr>
        <w:t xml:space="preserve">Consolidated balance sheets </w:t>
      </w:r>
    </w:p>
    <w:p>
      <w:pPr>
        <w:pStyle w:val="TextBody"/>
        <w:bidi w:val="0"/>
        <w:spacing w:before="0" w:after="0"/>
        <w:jc w:val="left"/>
        <w:rPr>
          <w:rFonts w:ascii="arial" w:hAnsi="arial"/>
          <w:b/>
          <w:sz w:val="24"/>
        </w:rPr>
      </w:pPr>
      <w:r>
        <w:rPr>
          <w:rFonts w:ascii="arial" w:hAnsi="arial"/>
          <w:b/>
          <w:sz w:val="24"/>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26"/>
        <w:gridCol w:w="383"/>
        <w:gridCol w:w="140"/>
        <w:gridCol w:w="876"/>
        <w:gridCol w:w="155"/>
        <w:gridCol w:w="350"/>
        <w:gridCol w:w="140"/>
        <w:gridCol w:w="876"/>
        <w:gridCol w:w="159"/>
      </w:tblGrid>
      <w:tr>
        <w:trPr/>
        <w:tc>
          <w:tcPr>
            <w:tcW w:w="7126"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126" w:type="dxa"/>
            <w:tcBorders>
              <w:top w:val="single" w:sz="16" w:space="0" w:color="000000"/>
            </w:tcBorders>
            <w:tcMar>
              <w:top w:w="28" w:type="dxa"/>
            </w:tcMar>
            <w:vAlign w:val="center"/>
          </w:tcPr>
          <w:p>
            <w:pPr>
              <w:pStyle w:val="TableContents"/>
              <w:bidi w:val="0"/>
              <w:spacing w:before="0" w:after="283"/>
              <w:jc w:val="left"/>
              <w:rPr/>
            </w:pPr>
            <w:r>
              <w:rPr/>
              <w:t> </w:t>
            </w:r>
          </w:p>
        </w:tc>
        <w:tc>
          <w:tcPr>
            <w:tcW w:w="307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537"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126"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38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Current Assets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26,770</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30,002</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Short-term investments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52,588</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Accounts receivable</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6,648</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12,753</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Inventory</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14,408</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38,482</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Contract 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Net investment in sales-type lease</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5,609</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13,468</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current assets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106,697</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94,705</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Restricted cash</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4,907</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4,907</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7,523</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10,498</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Operating lease right-of-use 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27,574</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26,130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Capitalized software, net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2,044</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1,988</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Other assets—noncurrent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766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1,764</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assets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6" w:type="dxa"/>
            <w:tcBorders/>
            <w:vAlign w:val="bottom"/>
          </w:tcPr>
          <w:p>
            <w:pPr>
              <w:pStyle w:val="TableContents"/>
              <w:bidi w:val="0"/>
              <w:spacing w:before="0" w:after="283"/>
              <w:jc w:val="right"/>
              <w:rPr>
                <w:b/>
              </w:rPr>
            </w:pPr>
            <w:r>
              <w:rPr>
                <w:b/>
              </w:rPr>
              <w:t>149,511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6" w:type="dxa"/>
            <w:tcBorders/>
            <w:vAlign w:val="bottom"/>
          </w:tcPr>
          <w:p>
            <w:pPr>
              <w:pStyle w:val="TableContents"/>
              <w:bidi w:val="0"/>
              <w:spacing w:before="0" w:after="283"/>
              <w:jc w:val="right"/>
              <w:rPr>
                <w:b/>
              </w:rPr>
            </w:pPr>
            <w:r>
              <w:rPr>
                <w:b/>
              </w:rPr>
              <w:t>139,992</w:t>
            </w:r>
          </w:p>
        </w:tc>
        <w:tc>
          <w:tcPr>
            <w:tcW w:w="159" w:type="dxa"/>
            <w:tcBorders/>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397"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LIABILITIES, CONVERTIBLE PREFERRED STOCK AND STOCKHOLDERS’ DEFICIT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Accounts payable</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6,187</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5,872</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Accrued and other 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8,493</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15,759</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Short-term operating lease liabilities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1,911</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2,099</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16,591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23,730</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Long-term operating lease liabilities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31,190</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29,564</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Warrant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247</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Term debt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9,810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Other noncurrent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599</w:t>
            </w:r>
          </w:p>
        </w:tc>
        <w:tc>
          <w:tcPr>
            <w:tcW w:w="159" w:type="dxa"/>
            <w:tcBorders/>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Total liabilities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47,926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63,950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sz w:val="20"/>
              </w:rPr>
            </w:pPr>
            <w:r>
              <w:rPr>
                <w:rFonts w:ascii="arial" w:hAnsi="arial"/>
                <w:sz w:val="20"/>
              </w:rPr>
              <w:t>Commitments and contingencies (Note 13)</w:t>
            </w:r>
          </w:p>
        </w:tc>
        <w:tc>
          <w:tcPr>
            <w:tcW w:w="38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7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7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 $0.0001 par value; 92,419,678 shares authorized at December 31, 2024 and 2025; 92,344,110 shares issued and outstanding at December 31, 2024 and 2025; aggregate liquidation preference of $248,345 at December 31, 2025</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234,996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234,996</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Stockholders’ deficit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Founders preferred stock, $0.0001 par value; 1,182,000 shares authorized at December 31, 2024 and 2025, 488,831 shares issued and outstanding at December 31, 2024 and 2025</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Common stock, $0.0001 par value; 164,558,000 and 168,345,259 shares authorized at December 31, 2024 and 2025, respectively; 11,090,304 and 12,047,585 shares issued and outstanding at December 31, 2024 and 2025, respectively</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5,395</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9,892</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Accumulated other comprehensive income (loss)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Accumulated deficit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(138,956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(168,775</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stockholders’ deficit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(133,411</w:t>
            </w:r>
          </w:p>
        </w:tc>
        <w:tc>
          <w:tcPr>
            <w:tcW w:w="155" w:type="dxa"/>
            <w:tcBorders/>
            <w:vAlign w:val="bottom"/>
          </w:tcPr>
          <w:p>
            <w:pPr>
              <w:pStyle w:val="TableContents"/>
              <w:bidi w:val="0"/>
              <w:spacing w:before="0" w:after="283"/>
              <w:jc w:val="left"/>
              <w:rPr/>
            </w:pPr>
            <w:r>
              <w:rPr>
                <w:b/>
              </w:rPr>
              <w:t>)</w:t>
            </w: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(158,954</w:t>
            </w:r>
          </w:p>
        </w:tc>
        <w:tc>
          <w:tcPr>
            <w:tcW w:w="159" w:type="dxa"/>
            <w:tcBorders/>
            <w:vAlign w:val="bottom"/>
          </w:tcPr>
          <w:p>
            <w:pPr>
              <w:pStyle w:val="TableContents"/>
              <w:bidi w:val="0"/>
              <w:spacing w:before="0" w:after="283"/>
              <w:jc w:val="left"/>
              <w:rPr/>
            </w:pPr>
            <w:r>
              <w:rPr>
                <w:b/>
              </w:rPr>
              <w:t>)</w:t>
            </w: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Total liabilities, convertible preferred stock and stockholders’ deficit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149,511</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139,992</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0" w:name="fin39680_3"/>
      <w:bookmarkEnd w:id="30"/>
      <w:r>
        <w:rPr>
          <w:rFonts w:ascii="arial" w:hAnsi="arial"/>
          <w:b/>
          <w:sz w:val="28"/>
        </w:rPr>
        <w:t xml:space="preserve">Consolidated statements of operations </w:t>
      </w:r>
    </w:p>
    <w:p>
      <w:pPr>
        <w:pStyle w:val="TextBody"/>
        <w:bidi w:val="0"/>
        <w:spacing w:before="0" w:after="0"/>
        <w:jc w:val="left"/>
        <w:rPr>
          <w:rFonts w:ascii="arial" w:hAnsi="arial"/>
          <w:b/>
          <w:sz w:val="24"/>
        </w:rPr>
      </w:pPr>
      <w:r>
        <w:rPr>
          <w:rFonts w:ascii="arial" w:hAnsi="arial"/>
          <w:b/>
          <w:sz w:val="24"/>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4"/>
        <w:gridCol w:w="513"/>
        <w:gridCol w:w="140"/>
        <w:gridCol w:w="1111"/>
        <w:gridCol w:w="155"/>
        <w:gridCol w:w="472"/>
        <w:gridCol w:w="140"/>
        <w:gridCol w:w="1111"/>
        <w:gridCol w:w="159"/>
      </w:tblGrid>
      <w:tr>
        <w:trPr/>
        <w:tc>
          <w:tcPr>
            <w:tcW w:w="640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04" w:type="dxa"/>
            <w:tcBorders>
              <w:top w:val="single" w:sz="16" w:space="0" w:color="000000"/>
            </w:tcBorders>
            <w:tcMar>
              <w:top w:w="28" w:type="dxa"/>
            </w:tcMar>
            <w:vAlign w:val="center"/>
          </w:tcPr>
          <w:p>
            <w:pPr>
              <w:pStyle w:val="TableContents"/>
              <w:bidi w:val="0"/>
              <w:spacing w:before="0" w:after="283"/>
              <w:jc w:val="left"/>
              <w:rPr/>
            </w:pPr>
            <w:r>
              <w:rPr/>
              <w:t> </w:t>
            </w:r>
          </w:p>
        </w:tc>
        <w:tc>
          <w:tcPr>
            <w:tcW w:w="380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2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404"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513"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Product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16,370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58,439</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Service and other 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8,772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15,772</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Total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25,142</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74,211</w:t>
            </w:r>
          </w:p>
        </w:tc>
        <w:tc>
          <w:tcPr>
            <w:tcW w:w="159" w:type="dxa"/>
            <w:tcBorders/>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Cost of 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Cost of product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14,273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27,146</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Cost of service and other 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2,262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5,360</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Total cost of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16,535</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32,506</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Gross profit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41,705</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Operating expenses:</w:t>
            </w:r>
          </w:p>
        </w:tc>
        <w:tc>
          <w:tcPr>
            <w:tcW w:w="51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11"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11"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39,234</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37,471</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Selling, general and administrative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18,941</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35,568</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58,175</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73,039</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Loss from operations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(49,568</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(31,334</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4,675</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2,160</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Interest expense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(2,078</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(401</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Other (expense) income, net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421</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before income tax</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(47,060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(29,154</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Provision for income taxes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665</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(47,073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Net loss per share, 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(4.40</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(2.58</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per share,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(4.60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(2.58</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Net loss attributable to common stockholders, 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(46,269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(29,819</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attributable to common stockholders,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(54,739</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Weighted-average common shares outstanding, 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10,521,761</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11,547,702</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Weighted-average common shares outstanding,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11,890,745</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11,547,702</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1" w:name="fin39680_4"/>
      <w:bookmarkEnd w:id="31"/>
      <w:r>
        <w:rPr>
          <w:rFonts w:ascii="arial" w:hAnsi="arial"/>
          <w:b/>
          <w:sz w:val="28"/>
        </w:rPr>
        <w:t xml:space="preserve">Consolidated statements of comprehensive loss </w:t>
      </w: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7"/>
        <w:gridCol w:w="309"/>
        <w:gridCol w:w="140"/>
        <w:gridCol w:w="771"/>
        <w:gridCol w:w="156"/>
        <w:gridCol w:w="282"/>
        <w:gridCol w:w="140"/>
        <w:gridCol w:w="771"/>
        <w:gridCol w:w="159"/>
      </w:tblGrid>
      <w:tr>
        <w:trPr/>
        <w:tc>
          <w:tcPr>
            <w:tcW w:w="747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7" w:type="dxa"/>
            <w:tcBorders>
              <w:top w:val="single" w:sz="16" w:space="0" w:color="000000"/>
            </w:tcBorders>
            <w:tcMar>
              <w:top w:w="28" w:type="dxa"/>
            </w:tcMar>
            <w:vAlign w:val="center"/>
          </w:tcPr>
          <w:p>
            <w:pPr>
              <w:pStyle w:val="TableContents"/>
              <w:bidi w:val="0"/>
              <w:spacing w:before="0" w:after="283"/>
              <w:jc w:val="left"/>
              <w:rPr/>
            </w:pPr>
            <w:r>
              <w:rPr/>
              <w:t> </w:t>
            </w:r>
          </w:p>
        </w:tc>
        <w:tc>
          <w:tcPr>
            <w:tcW w:w="272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60" w:type="dxa"/>
            <w:gridSpan w:val="6"/>
            <w:tcBorders>
              <w:bottom w:val="single" w:sz="2" w:space="0" w:color="000000"/>
            </w:tcBorders>
            <w:tcMar>
              <w:bottom w:w="28" w:type="dxa"/>
            </w:tcMar>
            <w:vAlign w:val="bottom"/>
          </w:tcPr>
          <w:p>
            <w:pPr>
              <w:pStyle w:val="TableContents"/>
              <w:bidi w:val="0"/>
              <w:spacing w:before="0" w:after="283"/>
              <w:jc w:val="right"/>
              <w:rPr/>
            </w:pPr>
            <w:r>
              <w:rPr>
                <w:b/>
              </w:rPr>
              <w:t>Year ended</w:t>
            </w:r>
            <w:r>
              <w:rPr/>
              <w:br/>
            </w:r>
            <w:r>
              <w:rPr>
                <w:b/>
              </w:rPr>
              <w:t>December 31,</w:t>
            </w:r>
          </w:p>
        </w:tc>
        <w:tc>
          <w:tcPr>
            <w:tcW w:w="159" w:type="dxa"/>
            <w:tcBorders/>
            <w:vAlign w:val="bottom"/>
          </w:tcPr>
          <w:p>
            <w:pPr>
              <w:pStyle w:val="TableContents"/>
              <w:bidi w:val="0"/>
              <w:spacing w:before="0" w:after="283"/>
              <w:jc w:val="left"/>
              <w:rPr/>
            </w:pPr>
            <w:r>
              <w:rPr/>
              <w:t> </w:t>
            </w:r>
          </w:p>
        </w:tc>
      </w:tr>
      <w:tr>
        <w:trPr/>
        <w:tc>
          <w:tcPr>
            <w:tcW w:w="7477"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09" w:type="dxa"/>
            <w:tcBorders>
              <w:bottom w:val="single" w:sz="2" w:space="0" w:color="000000"/>
            </w:tcBorders>
            <w:tcMar>
              <w:bottom w:w="28" w:type="dxa"/>
            </w:tcMar>
            <w:vAlign w:val="bottom"/>
          </w:tcPr>
          <w:p>
            <w:pPr>
              <w:pStyle w:val="TableContents"/>
              <w:bidi w:val="0"/>
              <w:spacing w:before="0" w:after="283"/>
              <w:jc w:val="left"/>
              <w:rPr/>
            </w:pPr>
            <w:r>
              <w:rPr/>
              <w:t>  </w:t>
            </w:r>
          </w:p>
        </w:tc>
        <w:tc>
          <w:tcPr>
            <w:tcW w:w="9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282" w:type="dxa"/>
            <w:tcBorders>
              <w:bottom w:val="single" w:sz="2" w:space="0" w:color="000000"/>
            </w:tcBorders>
            <w:tcMar>
              <w:bottom w:w="28" w:type="dxa"/>
            </w:tcMar>
            <w:vAlign w:val="bottom"/>
          </w:tcPr>
          <w:p>
            <w:pPr>
              <w:pStyle w:val="TableContents"/>
              <w:bidi w:val="0"/>
              <w:spacing w:before="0" w:after="283"/>
              <w:jc w:val="left"/>
              <w:rPr/>
            </w:pPr>
            <w:r>
              <w:rPr/>
              <w:t> </w:t>
            </w:r>
          </w:p>
        </w:tc>
        <w:tc>
          <w:tcPr>
            <w:tcW w:w="9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477"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(47,073</w:t>
            </w:r>
          </w:p>
        </w:tc>
        <w:tc>
          <w:tcPr>
            <w:tcW w:w="15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(29,819</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7477" w:type="dxa"/>
            <w:tcBorders/>
            <w:vAlign w:val="center"/>
          </w:tcPr>
          <w:p>
            <w:pPr>
              <w:pStyle w:val="TableContents"/>
              <w:bidi w:val="0"/>
              <w:spacing w:before="0" w:after="283"/>
              <w:jc w:val="left"/>
              <w:rPr>
                <w:sz w:val="4"/>
                <w:szCs w:val="4"/>
              </w:rPr>
            </w:pPr>
            <w:r>
              <w:rPr>
                <w:sz w:val="4"/>
                <w:szCs w:val="4"/>
              </w:rPr>
            </w:r>
          </w:p>
        </w:tc>
        <w:tc>
          <w:tcPr>
            <w:tcW w:w="1376" w:type="dxa"/>
            <w:gridSpan w:val="4"/>
            <w:tcBorders/>
            <w:vAlign w:val="center"/>
          </w:tcPr>
          <w:p>
            <w:pPr>
              <w:pStyle w:val="TableContents"/>
              <w:bidi w:val="0"/>
              <w:spacing w:before="0" w:after="283"/>
              <w:jc w:val="left"/>
              <w:rPr>
                <w:sz w:val="4"/>
                <w:szCs w:val="4"/>
              </w:rPr>
            </w:pPr>
            <w:r>
              <w:rPr>
                <w:sz w:val="4"/>
                <w:szCs w:val="4"/>
              </w:rPr>
            </w:r>
          </w:p>
        </w:tc>
        <w:tc>
          <w:tcPr>
            <w:tcW w:w="1352" w:type="dxa"/>
            <w:gridSpan w:val="4"/>
            <w:tcBorders/>
            <w:vAlign w:val="center"/>
          </w:tcPr>
          <w:p>
            <w:pPr>
              <w:pStyle w:val="TableContents"/>
              <w:bidi w:val="0"/>
              <w:spacing w:before="0" w:after="283"/>
              <w:jc w:val="left"/>
              <w:rPr>
                <w:sz w:val="4"/>
                <w:szCs w:val="4"/>
              </w:rPr>
            </w:pPr>
            <w:r>
              <w:rPr>
                <w:sz w:val="4"/>
                <w:szCs w:val="4"/>
              </w:rPr>
            </w:r>
          </w:p>
        </w:tc>
      </w:tr>
      <w:tr>
        <w:trPr/>
        <w:tc>
          <w:tcPr>
            <w:tcW w:w="7477" w:type="dxa"/>
            <w:tcBorders/>
          </w:tcPr>
          <w:p>
            <w:pPr>
              <w:pStyle w:val="TableContents"/>
              <w:bidi w:val="0"/>
              <w:spacing w:before="0" w:after="0"/>
              <w:jc w:val="left"/>
              <w:rPr>
                <w:rFonts w:ascii="arial" w:hAnsi="arial"/>
                <w:sz w:val="20"/>
              </w:rPr>
            </w:pPr>
            <w:r>
              <w:rPr>
                <w:rFonts w:ascii="arial" w:hAnsi="arial"/>
                <w:sz w:val="20"/>
              </w:rPr>
              <w:t>Other comprehensive income (loss):</w:t>
            </w:r>
          </w:p>
        </w:tc>
        <w:tc>
          <w:tcPr>
            <w:tcW w:w="30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71"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71"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7477" w:type="dxa"/>
            <w:tcBorders/>
            <w:shd w:fill="CCEEFF" w:val="clear"/>
          </w:tcPr>
          <w:p>
            <w:pPr>
              <w:pStyle w:val="TableContents"/>
              <w:bidi w:val="0"/>
              <w:spacing w:before="0" w:after="0"/>
              <w:jc w:val="left"/>
              <w:rPr>
                <w:rFonts w:ascii="arial" w:hAnsi="arial"/>
                <w:sz w:val="20"/>
              </w:rPr>
            </w:pPr>
            <w:r>
              <w:rPr>
                <w:rFonts w:ascii="arial" w:hAnsi="arial"/>
                <w:sz w:val="20"/>
              </w:rPr>
              <w:t>Currency translation adjustment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w:t>
            </w:r>
          </w:p>
        </w:tc>
        <w:tc>
          <w:tcPr>
            <w:tcW w:w="15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(71</w:t>
            </w:r>
          </w:p>
        </w:tc>
        <w:tc>
          <w:tcPr>
            <w:tcW w:w="159" w:type="dxa"/>
            <w:tcBorders/>
            <w:shd w:fill="CCEEFF" w:val="clear"/>
            <w:vAlign w:val="bottom"/>
          </w:tcPr>
          <w:p>
            <w:pPr>
              <w:pStyle w:val="TableContents"/>
              <w:bidi w:val="0"/>
              <w:spacing w:before="0" w:after="283"/>
              <w:jc w:val="left"/>
              <w:rPr/>
            </w:pPr>
            <w:r>
              <w:rPr/>
              <w:t>) </w:t>
            </w:r>
          </w:p>
        </w:tc>
      </w:tr>
      <w:tr>
        <w:trPr/>
        <w:tc>
          <w:tcPr>
            <w:tcW w:w="7477" w:type="dxa"/>
            <w:tcBorders/>
          </w:tcPr>
          <w:p>
            <w:pPr>
              <w:pStyle w:val="TableContents"/>
              <w:bidi w:val="0"/>
              <w:spacing w:before="0" w:after="0"/>
              <w:jc w:val="left"/>
              <w:rPr>
                <w:rFonts w:ascii="arial" w:hAnsi="arial"/>
                <w:sz w:val="20"/>
              </w:rPr>
            </w:pPr>
            <w:r>
              <w:rPr>
                <w:rFonts w:ascii="arial" w:hAnsi="arial"/>
                <w:sz w:val="20"/>
              </w:rPr>
              <w:t>Unrealized gain (loss) on available-for-sale debt securities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150</w:t>
            </w:r>
          </w:p>
        </w:tc>
        <w:tc>
          <w:tcPr>
            <w:tcW w:w="15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(150</w:t>
            </w:r>
          </w:p>
        </w:tc>
        <w:tc>
          <w:tcPr>
            <w:tcW w:w="159" w:type="dxa"/>
            <w:tcBorders/>
            <w:vAlign w:val="bottom"/>
          </w:tcPr>
          <w:p>
            <w:pPr>
              <w:pStyle w:val="TableContents"/>
              <w:bidi w:val="0"/>
              <w:spacing w:before="0" w:after="283"/>
              <w:jc w:val="left"/>
              <w:rPr/>
            </w:pPr>
            <w:r>
              <w:rPr/>
              <w:t>) </w:t>
            </w:r>
          </w:p>
        </w:tc>
      </w:tr>
      <w:tr>
        <w:trPr/>
        <w:tc>
          <w:tcPr>
            <w:tcW w:w="747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7"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(46,924</w:t>
            </w:r>
          </w:p>
        </w:tc>
        <w:tc>
          <w:tcPr>
            <w:tcW w:w="15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(30,040</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2" w:name="fin39680_5"/>
      <w:bookmarkEnd w:id="32"/>
      <w:r>
        <w:rPr>
          <w:rFonts w:ascii="arial" w:hAnsi="arial"/>
          <w:b/>
          <w:sz w:val="28"/>
        </w:rPr>
        <w:t xml:space="preserve">Consolidated statements of convertible preferred stock and stockholders’ deficit </w:t>
      </w:r>
    </w:p>
    <w:p>
      <w:pPr>
        <w:pStyle w:val="TextBody"/>
        <w:bidi w:val="0"/>
        <w:spacing w:before="0" w:after="0"/>
        <w:jc w:val="left"/>
        <w:rPr>
          <w:rFonts w:ascii="arial" w:hAnsi="arial"/>
          <w:b/>
          <w:sz w:val="24"/>
        </w:rPr>
      </w:pPr>
      <w:r>
        <w:rPr>
          <w:rFonts w:ascii="arial" w:hAnsi="arial"/>
          <w:b/>
          <w:sz w:val="24"/>
        </w:rPr>
        <w:t xml:space="preserve">(In thousands, except share and per share data) </w:t>
      </w:r>
    </w:p>
    <w:p>
      <w:pPr>
        <w:pStyle w:val="TextBody"/>
        <w:bidi w:val="0"/>
        <w:spacing w:before="0" w:after="0"/>
        <w:jc w:val="left"/>
        <w:rPr/>
      </w:pPr>
      <w:r>
        <w:rPr/>
        <w:t> </w:t>
      </w:r>
    </w:p>
    <w:tbl>
      <w:tblPr>
        <w:tblW w:w="14165" w:type="dxa"/>
        <w:jc w:val="center"/>
        <w:tblInd w:w="0" w:type="dxa"/>
        <w:tblLayout w:type="fixed"/>
        <w:tblCellMar>
          <w:top w:w="0" w:type="dxa"/>
          <w:left w:w="0" w:type="dxa"/>
          <w:bottom w:w="0" w:type="dxa"/>
          <w:right w:w="0" w:type="dxa"/>
        </w:tblCellMar>
      </w:tblPr>
      <w:tblGrid>
        <w:gridCol w:w="1370"/>
        <w:gridCol w:w="60"/>
        <w:gridCol w:w="60"/>
        <w:gridCol w:w="1100"/>
        <w:gridCol w:w="60"/>
        <w:gridCol w:w="60"/>
        <w:gridCol w:w="140"/>
        <w:gridCol w:w="800"/>
        <w:gridCol w:w="155"/>
        <w:gridCol w:w="60"/>
        <w:gridCol w:w="60"/>
        <w:gridCol w:w="800"/>
        <w:gridCol w:w="60"/>
        <w:gridCol w:w="60"/>
        <w:gridCol w:w="301"/>
        <w:gridCol w:w="559"/>
        <w:gridCol w:w="60"/>
        <w:gridCol w:w="60"/>
        <w:gridCol w:w="60"/>
        <w:gridCol w:w="1100"/>
        <w:gridCol w:w="60"/>
        <w:gridCol w:w="60"/>
        <w:gridCol w:w="301"/>
        <w:gridCol w:w="559"/>
        <w:gridCol w:w="60"/>
        <w:gridCol w:w="60"/>
        <w:gridCol w:w="220"/>
        <w:gridCol w:w="880"/>
        <w:gridCol w:w="60"/>
        <w:gridCol w:w="60"/>
        <w:gridCol w:w="361"/>
        <w:gridCol w:w="1174"/>
        <w:gridCol w:w="155"/>
        <w:gridCol w:w="60"/>
        <w:gridCol w:w="188"/>
        <w:gridCol w:w="1182"/>
        <w:gridCol w:w="155"/>
        <w:gridCol w:w="60"/>
        <w:gridCol w:w="188"/>
        <w:gridCol w:w="1182"/>
        <w:gridCol w:w="15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370" w:type="dxa"/>
            <w:tcBorders>
              <w:top w:val="single" w:sz="16" w:space="0" w:color="000000"/>
            </w:tcBorders>
            <w:tcMar>
              <w:top w:w="28" w:type="dxa"/>
            </w:tcMar>
            <w:vAlign w:val="center"/>
          </w:tcPr>
          <w:p>
            <w:pPr>
              <w:pStyle w:val="TableContents"/>
              <w:bidi w:val="0"/>
              <w:spacing w:before="0" w:after="283"/>
              <w:jc w:val="left"/>
              <w:rPr/>
            </w:pPr>
            <w:r>
              <w:rPr/>
              <w:t> </w:t>
            </w:r>
          </w:p>
        </w:tc>
        <w:tc>
          <w:tcPr>
            <w:tcW w:w="243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9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2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Convertible preferred</w:t>
              <w:br/>
              <w:t>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2" w:space="0" w:color="000000"/>
            </w:tcBorders>
            <w:tcMar>
              <w:bottom w:w="28" w:type="dxa"/>
            </w:tcMar>
            <w:vAlign w:val="bottom"/>
          </w:tcPr>
          <w:p>
            <w:pPr>
              <w:pStyle w:val="TableContents"/>
              <w:bidi w:val="0"/>
              <w:spacing w:before="0" w:after="283"/>
              <w:jc w:val="right"/>
              <w:rPr>
                <w:b/>
              </w:rPr>
            </w:pPr>
            <w:r>
              <w:rPr>
                <w:b/>
              </w:rPr>
              <w:t>Founders</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10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Additional</w:t>
              <w:br/>
              <w:t>paid-in</w:t>
              <w:br/>
              <w:t>capital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other</w:t>
              <w:br/>
              <w:t>comprehensive</w:t>
              <w:br/>
              <w:t>income (loss)</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Total</w:t>
              <w:br/>
              <w:t>stockholders’</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70"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data)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10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535"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r>
      <w:tr>
        <w:trPr/>
        <w:tc>
          <w:tcPr>
            <w:tcW w:w="1370" w:type="dxa"/>
            <w:tcBorders/>
            <w:shd w:fill="CCEEFF" w:val="clear"/>
          </w:tcPr>
          <w:p>
            <w:pPr>
              <w:pStyle w:val="TableContents"/>
              <w:bidi w:val="0"/>
              <w:spacing w:before="0" w:after="0"/>
              <w:jc w:val="left"/>
              <w:rPr>
                <w:rFonts w:ascii="arial" w:hAnsi="arial"/>
                <w:b/>
                <w:sz w:val="19"/>
              </w:rPr>
            </w:pPr>
            <w:r>
              <w:rPr>
                <w:rFonts w:ascii="arial" w:hAnsi="arial"/>
                <w:b/>
                <w:sz w:val="19"/>
              </w:rPr>
              <w:t>Balance at January 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49,339,922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120,331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488,831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10,232,101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880" w:type="dxa"/>
            <w:tcBorders/>
            <w:shd w:fill="CCEEFF" w:val="clear"/>
            <w:vAlign w:val="bottom"/>
          </w:tcPr>
          <w:p>
            <w:pPr>
              <w:pStyle w:val="TableContents"/>
              <w:bidi w:val="0"/>
              <w:spacing w:before="0" w:after="283"/>
              <w:jc w:val="right"/>
              <w:rPr>
                <w:b/>
              </w:rPr>
            </w:pPr>
            <w:r>
              <w:rPr>
                <w:b/>
              </w:rPr>
              <w:t>2,417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b/>
              </w:rPr>
            </w:pPr>
            <w:r>
              <w:rPr>
                <w:b/>
              </w:rPr>
              <w:t>$</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(92,215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(89,797</w:t>
            </w:r>
          </w:p>
        </w:tc>
        <w:tc>
          <w:tcPr>
            <w:tcW w:w="155" w:type="dxa"/>
            <w:tcBorders/>
            <w:shd w:fill="CCEEFF" w:val="clear"/>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Proceeds from issuance of Series C convertible preferred stock, net of issuance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43,004,188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127,477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Extinguishment and reissuance of Series B and B-Plus convertible preferred stock upon distribution of investment in Attovia and change of liquidation preference of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(12,812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332</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577,032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940</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Issuance of common stock in lieu of cash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281,171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938</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873</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Issuance of common stock warrants in connection with term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(47,073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227</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(47,073</w:t>
            </w:r>
          </w:p>
        </w:tc>
        <w:tc>
          <w:tcPr>
            <w:tcW w:w="155" w:type="dxa"/>
            <w:tcBorders/>
            <w:vAlign w:val="bottom"/>
          </w:tcPr>
          <w:p>
            <w:pPr>
              <w:pStyle w:val="TableContents"/>
              <w:bidi w:val="0"/>
              <w:spacing w:before="0" w:after="283"/>
              <w:jc w:val="left"/>
              <w:rPr>
                <w:b/>
              </w:rPr>
            </w:pPr>
            <w:r>
              <w:rPr>
                <w:b/>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Other comprehensive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149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149</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arial" w:hAnsi="arial"/>
                <w:b/>
                <w:sz w:val="19"/>
              </w:rPr>
            </w:pPr>
            <w:r>
              <w:rPr>
                <w:rFonts w:ascii="arial" w:hAnsi="arial"/>
                <w:b/>
                <w:sz w:val="19"/>
              </w:rPr>
              <w:t>Balance at December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92,344,110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234,996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488,831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11,090,304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5,395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b/>
              </w:rPr>
            </w:pPr>
            <w:r>
              <w:rPr>
                <w:b/>
              </w:rPr>
              <w:t>$</w:t>
            </w:r>
          </w:p>
        </w:tc>
        <w:tc>
          <w:tcPr>
            <w:tcW w:w="1174" w:type="dxa"/>
            <w:tcBorders/>
            <w:vAlign w:val="bottom"/>
          </w:tcPr>
          <w:p>
            <w:pPr>
              <w:pStyle w:val="TableContents"/>
              <w:bidi w:val="0"/>
              <w:spacing w:before="0" w:after="283"/>
              <w:jc w:val="right"/>
              <w:rPr>
                <w:b/>
              </w:rPr>
            </w:pPr>
            <w:r>
              <w:rPr>
                <w:b/>
              </w:rPr>
              <w:t>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(138,956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(133,411</w:t>
            </w:r>
          </w:p>
        </w:tc>
        <w:tc>
          <w:tcPr>
            <w:tcW w:w="155" w:type="dxa"/>
            <w:tcBorders/>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Issuance of common stock upon 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913,858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1,493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1,493</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Issuance of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43,423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Vesting of early exercised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39</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Issuance of common stock warrants in connection with term loan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103</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2,862</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Other comprehensive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(221</w:t>
            </w:r>
          </w:p>
        </w:tc>
        <w:tc>
          <w:tcPr>
            <w:tcW w:w="155" w:type="dxa"/>
            <w:tcBorders/>
            <w:vAlign w:val="bottom"/>
          </w:tcPr>
          <w:p>
            <w:pPr>
              <w:pStyle w:val="TableContents"/>
              <w:bidi w:val="0"/>
              <w:spacing w:before="0" w:after="283"/>
              <w:jc w:val="left"/>
              <w:rPr>
                <w:b/>
              </w:rPr>
            </w:pPr>
            <w:r>
              <w:rPr>
                <w:b/>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(29,819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(29,819</w:t>
            </w:r>
          </w:p>
        </w:tc>
        <w:tc>
          <w:tcPr>
            <w:tcW w:w="155" w:type="dxa"/>
            <w:tcBorders/>
            <w:shd w:fill="CCEEFF" w:val="clear"/>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arial" w:hAnsi="arial"/>
                <w:b/>
                <w:sz w:val="19"/>
              </w:rPr>
            </w:pPr>
            <w:r>
              <w:rPr>
                <w:rFonts w:ascii="arial" w:hAnsi="arial"/>
                <w:b/>
                <w:sz w:val="19"/>
              </w:rPr>
              <w:t>Balance at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92,344,110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234,996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488,831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12,047,585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9,892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b/>
              </w:rPr>
            </w:pPr>
            <w:r>
              <w:rPr>
                <w:b/>
              </w:rPr>
              <w:t>$</w:t>
            </w:r>
          </w:p>
        </w:tc>
        <w:tc>
          <w:tcPr>
            <w:tcW w:w="1174" w:type="dxa"/>
            <w:tcBorders/>
            <w:vAlign w:val="bottom"/>
          </w:tcPr>
          <w:p>
            <w:pPr>
              <w:pStyle w:val="TableContents"/>
              <w:bidi w:val="0"/>
              <w:spacing w:before="0" w:after="283"/>
              <w:jc w:val="right"/>
              <w:rPr>
                <w:b/>
              </w:rPr>
            </w:pPr>
            <w:r>
              <w:rPr>
                <w:b/>
              </w:rPr>
              <w:t>(72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(168,775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(158,954</w:t>
            </w:r>
          </w:p>
        </w:tc>
        <w:tc>
          <w:tcPr>
            <w:tcW w:w="155" w:type="dxa"/>
            <w:tcBorders/>
            <w:vAlign w:val="bottom"/>
          </w:tcPr>
          <w:p>
            <w:pPr>
              <w:pStyle w:val="TableContents"/>
              <w:bidi w:val="0"/>
              <w:spacing w:before="0" w:after="283"/>
              <w:jc w:val="left"/>
              <w:rPr>
                <w:b/>
              </w:rPr>
            </w:pPr>
            <w:r>
              <w:rPr>
                <w:b/>
              </w:rPr>
              <w:t>) </w:t>
            </w:r>
          </w:p>
        </w:tc>
      </w:tr>
      <w:tr>
        <w:trPr/>
        <w:tc>
          <w:tcPr>
            <w:tcW w:w="14010" w:type="dxa"/>
            <w:gridSpan w:val="40"/>
            <w:tcBorders/>
          </w:tcPr>
          <w:p>
            <w:pPr>
              <w:pStyle w:val="TableContents"/>
              <w:pBdr>
                <w:bottom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3" w:name="fin39680_6"/>
      <w:bookmarkEnd w:id="33"/>
      <w:r>
        <w:rPr>
          <w:rFonts w:ascii="arial" w:hAnsi="arial"/>
          <w:b/>
          <w:sz w:val="28"/>
        </w:rPr>
        <w:t xml:space="preserve">Consolidated statements of cash flows </w:t>
      </w: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96"/>
        <w:gridCol w:w="224"/>
        <w:gridCol w:w="141"/>
        <w:gridCol w:w="836"/>
        <w:gridCol w:w="60"/>
        <w:gridCol w:w="224"/>
        <w:gridCol w:w="141"/>
        <w:gridCol w:w="819"/>
        <w:gridCol w:w="64"/>
      </w:tblGrid>
      <w:tr>
        <w:trPr/>
        <w:tc>
          <w:tcPr>
            <w:tcW w:w="7696"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696" w:type="dxa"/>
            <w:tcBorders>
              <w:top w:val="single" w:sz="16" w:space="0" w:color="000000"/>
            </w:tcBorders>
            <w:tcMar>
              <w:top w:w="28" w:type="dxa"/>
            </w:tcMar>
            <w:vAlign w:val="center"/>
          </w:tcPr>
          <w:p>
            <w:pPr>
              <w:pStyle w:val="TableContents"/>
              <w:bidi w:val="0"/>
              <w:spacing w:before="0" w:after="283"/>
              <w:jc w:val="left"/>
              <w:rPr/>
            </w:pPr>
            <w:r>
              <w:rPr/>
              <w:t> </w:t>
            </w:r>
          </w:p>
        </w:tc>
        <w:tc>
          <w:tcPr>
            <w:tcW w:w="250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22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696"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224" w:type="dxa"/>
            <w:tcBorders>
              <w:bottom w:val="single" w:sz="2" w:space="0" w:color="000000"/>
            </w:tcBorders>
            <w:tcMar>
              <w:bottom w:w="28" w:type="dxa"/>
            </w:tcMar>
            <w:vAlign w:val="bottom"/>
          </w:tcPr>
          <w:p>
            <w:pPr>
              <w:pStyle w:val="TableContents"/>
              <w:bidi w:val="0"/>
              <w:spacing w:before="0" w:after="283"/>
              <w:jc w:val="left"/>
              <w:rPr/>
            </w:pPr>
            <w:r>
              <w:rPr/>
              <w:t>  </w:t>
            </w:r>
          </w:p>
        </w:tc>
        <w:tc>
          <w:tcPr>
            <w:tcW w:w="97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 w:type="dxa"/>
            <w:tcBorders>
              <w:bottom w:val="single" w:sz="2" w:space="0" w:color="000000"/>
            </w:tcBorders>
            <w:tcMar>
              <w:bottom w:w="28" w:type="dxa"/>
            </w:tcMar>
            <w:vAlign w:val="bottom"/>
          </w:tcPr>
          <w:p>
            <w:pPr>
              <w:pStyle w:val="TableContents"/>
              <w:bidi w:val="0"/>
              <w:spacing w:before="0" w:after="283"/>
              <w:jc w:val="left"/>
              <w:rPr/>
            </w:pPr>
            <w:r>
              <w:rPr/>
              <w:t>  </w:t>
            </w:r>
          </w:p>
        </w:tc>
        <w:tc>
          <w:tcPr>
            <w:tcW w:w="9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Cash flows from operating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3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19"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Net loss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(47,073)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(29,819)</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Adjustments to reconcile net loss to 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Depreciation and amortization expense</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3,194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3,864</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Stock-based compensation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2,870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Accretion and amortization of premiums and discounts on investments, net</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(1,893)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Unrealized foreign exchange loss (gain)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Non-cash operating lease costs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1,582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1,934</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Amortization of debt issuance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193</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Change in fair value of warrant liabilities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Changes in assets and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Accounts receivable</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(4,684)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(5,910)</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Inventory</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(8,753)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(23,781)</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Contract assets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(413)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413</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Net investment in sales-type lease</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261</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Prepaid expenses and other current assets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(2,246)</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(6,442)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Other noncurrent assets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(414)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(1,007)</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Accounts payable</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2,917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(572)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Operating lease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(1,623)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(1,918)</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Accrued expenses and other liabilities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3,488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6,386</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(55,214)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(53,608)</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Cash flows from investing activities:</w:t>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3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19"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Purchases of short-term investments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(92,529)</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(4,940)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Maturities of short-term investments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57,500</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Sales of short-term investments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5,984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Purchases of property and equipment</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(2,948)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(5,373)</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Capitalized software development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(1,011)</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Net cash (used in) provided by investing activities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(53,933)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46,176</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Cash flows from financing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3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19"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Principal payment of debts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Proceeds from term loan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10,000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Payment of third-party debt issuance costs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Proceeds from issuance of Series C Preferred Stock, net of issuance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127,477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Proceeds from issuance of common stock upon exercise of stock options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940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1,493</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Payment of deferred offering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(555)</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Net cash provided by financing activities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113,417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10,836</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Effect of exchange rate changes on cash and cash equivalents, and restricted cash</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(172)</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Net increase in cash, cash equivalents and restricted cash</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4,269</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3,232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restricted cash at beginning of year</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27,408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31,677</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Cash, cash equivalents and restricted cash at end of year</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31,677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34,909</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2080" w:type="dxa"/>
            <w:gridSpan w:val="5"/>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Supplemental disclosure of cash-flow information: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3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19"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Cash paid for interest</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2,052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Right-of-use assets obtained in exchange for new operating lease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466</w:t>
            </w:r>
          </w:p>
        </w:tc>
        <w:tc>
          <w:tcPr>
            <w:tcW w:w="64" w:type="dxa"/>
            <w:tcBorders/>
            <w:shd w:fill="CCEEFF" w:val="clear"/>
            <w:vAlign w:val="bottom"/>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Noncash investing and financing items:</w:t>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3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19"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Non-cash distribution of Attovia stock (reduction of convertible preferred stock)</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12,480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Issuance of common stock in lieu of cash compensation</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938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Vested common stock warrants issued in connection with term loans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103</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Vesting of early exercised stock options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Equipment transferred to inventory</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169</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Deferred financing and deferred offering costs included in accrued liabilities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880</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Property and equipment included in accounts payable and accrued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520</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bookmarkStart w:id="34" w:name="fin39680_7"/>
      <w:bookmarkEnd w:id="34"/>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arial" w:hAnsi="arial"/>
          <w:b/>
          <w:sz w:val="24"/>
        </w:rPr>
      </w:pPr>
      <w:r>
        <w:rPr>
          <w:rFonts w:ascii="arial" w:hAnsi="arial"/>
          <w:b/>
          <w:sz w:val="24"/>
        </w:rPr>
        <w:t xml:space="preserve">1. Description of business and basis of presentation </w:t>
      </w:r>
    </w:p>
    <w:p>
      <w:pPr>
        <w:pStyle w:val="TextBody"/>
        <w:bidi w:val="0"/>
        <w:spacing w:before="160" w:after="0"/>
        <w:jc w:val="left"/>
        <w:rPr>
          <w:rFonts w:ascii="arial" w:hAnsi="arial"/>
          <w:sz w:val="20"/>
        </w:rPr>
      </w:pPr>
      <w:r>
        <w:rPr>
          <w:rFonts w:ascii="arial" w:hAnsi="arial"/>
          <w:i/>
          <w:sz w:val="20"/>
        </w:rPr>
        <w:t>Organization and description of business</w:t>
      </w:r>
      <w:r>
        <w:rPr>
          <w:rFonts w:ascii="arial" w:hAnsi="arial"/>
          <w:sz w:val="20"/>
        </w:rPr>
        <w:t xml:space="preserve">—Alamar Biosciences, Inc. (the “Company”) was incorporated in the State of Delaware on May 7, 2018, and is based in Fremont, California. The Company develops a highly sensitive proteomic liquid biopsy platform and sells instruments, consumables and services based on this platform to enable early detection of diseases. The Company marked 2024 as the first full year of commercialization. </w:t>
      </w:r>
    </w:p>
    <w:p>
      <w:pPr>
        <w:pStyle w:val="TextBody"/>
        <w:bidi w:val="0"/>
        <w:spacing w:before="160" w:after="0"/>
        <w:jc w:val="left"/>
        <w:rPr>
          <w:rFonts w:ascii="arial" w:hAnsi="arial"/>
          <w:sz w:val="20"/>
        </w:rPr>
      </w:pPr>
      <w:r>
        <w:rPr>
          <w:rFonts w:ascii="arial" w:hAnsi="arial"/>
          <w:sz w:val="20"/>
        </w:rPr>
        <w:t xml:space="preserve">As of December 31, 2025, the Company has wholly-owned subsidiaries in Asia, Europe and North America. </w:t>
      </w:r>
    </w:p>
    <w:p>
      <w:pPr>
        <w:pStyle w:val="TextBody"/>
        <w:bidi w:val="0"/>
        <w:spacing w:before="160" w:after="0"/>
        <w:jc w:val="left"/>
        <w:rPr>
          <w:rFonts w:ascii="arial" w:hAnsi="arial"/>
          <w:sz w:val="20"/>
        </w:rPr>
      </w:pPr>
      <w:r>
        <w:rPr>
          <w:rFonts w:ascii="arial" w:hAnsi="arial"/>
          <w:i/>
          <w:sz w:val="20"/>
        </w:rPr>
        <w:t>Basis of presentation</w:t>
      </w:r>
      <w:r>
        <w:rPr>
          <w:rFonts w:ascii="arial" w:hAnsi="arial"/>
          <w:sz w:val="20"/>
        </w:rPr>
        <w:t xml:space="preserve">—The Company’s financial statements and accompanying notes have been prepared in accordance with generally accepted accounting principles in the United States of America (“GAAP”) and include all adjustments necessary for the fair presentation of the Company’s financial position for the periods presented. </w:t>
      </w:r>
    </w:p>
    <w:p>
      <w:pPr>
        <w:pStyle w:val="TextBody"/>
        <w:bidi w:val="0"/>
        <w:spacing w:before="160" w:after="0"/>
        <w:jc w:val="left"/>
        <w:rPr>
          <w:rFonts w:ascii="arial" w:hAnsi="arial"/>
          <w:sz w:val="20"/>
        </w:rPr>
      </w:pPr>
      <w:r>
        <w:rPr>
          <w:rFonts w:ascii="arial" w:hAnsi="arial"/>
          <w:i/>
          <w:sz w:val="20"/>
        </w:rPr>
        <w:t>Principles of consolidation</w:t>
      </w:r>
      <w:r>
        <w:rPr>
          <w:rFonts w:ascii="arial" w:hAnsi="arial"/>
          <w:sz w:val="20"/>
        </w:rPr>
        <w:t xml:space="preserve">—The accompanying consolidated financial statements include the accounts of the Company and its subsidiaries. All significant intercompany balances and transactions have been eliminated in consolidation. </w:t>
      </w:r>
    </w:p>
    <w:p>
      <w:pPr>
        <w:pStyle w:val="TextBody"/>
        <w:bidi w:val="0"/>
        <w:spacing w:before="160" w:after="0"/>
        <w:jc w:val="left"/>
        <w:rPr>
          <w:rFonts w:ascii="arial" w:hAnsi="arial"/>
          <w:sz w:val="20"/>
        </w:rPr>
      </w:pPr>
      <w:r>
        <w:rPr>
          <w:rFonts w:ascii="arial" w:hAnsi="arial"/>
          <w:i/>
          <w:sz w:val="20"/>
        </w:rPr>
        <w:t>Risks and uncertainties</w:t>
      </w:r>
      <w:r>
        <w:rPr>
          <w:rFonts w:ascii="arial" w:hAnsi="arial"/>
          <w:sz w:val="20"/>
        </w:rPr>
        <w:t xml:space="preserve">—The Company is subject to certain risks and uncertainties, including but are not limited to the following areas: dependence on key personnel, existing competitors or new market entrants, and dependence upon the availability of cash to sustain operations. The Company’s financial position or operating results may be materially affected by the foregoing factors. </w:t>
      </w:r>
    </w:p>
    <w:p>
      <w:pPr>
        <w:pStyle w:val="TextBody"/>
        <w:bidi w:val="0"/>
        <w:spacing w:before="160" w:after="0"/>
        <w:jc w:val="left"/>
        <w:rPr>
          <w:rFonts w:ascii="arial" w:hAnsi="arial"/>
          <w:sz w:val="20"/>
        </w:rPr>
      </w:pPr>
      <w:r>
        <w:rPr>
          <w:rFonts w:ascii="arial" w:hAnsi="arial"/>
          <w:i/>
          <w:sz w:val="20"/>
        </w:rPr>
        <w:t>Liquidity</w:t>
      </w:r>
      <w:r>
        <w:rPr>
          <w:rFonts w:ascii="arial" w:hAnsi="arial"/>
          <w:sz w:val="20"/>
        </w:rPr>
        <w:t xml:space="preserve">—The Company has sustained operating losses and expects to continue to generate operating losses for the foreseeable future. During the years ended December 31, 2024 and 2025, the Company incurred net losses of $47.1 million and $29.8 million, respectively. As of December 31, 2025, the Company had an accumulated deficit of $168.8 million. </w:t>
      </w:r>
    </w:p>
    <w:p>
      <w:pPr>
        <w:pStyle w:val="TextBody"/>
        <w:bidi w:val="0"/>
        <w:spacing w:before="160" w:after="0"/>
        <w:jc w:val="left"/>
        <w:rPr>
          <w:rFonts w:ascii="arial" w:hAnsi="arial"/>
          <w:sz w:val="20"/>
        </w:rPr>
      </w:pPr>
      <w:r>
        <w:rPr>
          <w:rFonts w:ascii="arial" w:hAnsi="arial"/>
          <w:sz w:val="20"/>
        </w:rPr>
        <w:t xml:space="preserve">As of December 31, 2025, the Company had unrestricted cash and cash equivalents of $30.0 million and unused committed term loan facility and undrawn revolver balance totaling $50.0 million with Silicon Valley Bank, a division of First Citizens Bank (“SVB”), subject to certain conditions. The Company believes that its cash and cash equivalents at December 31, 2025 and the $56.5 million proceeds from the convertible notes issued in January 2026 (see Note 17 - Subsequent Events, for further details) will be sufficient to allow the Company to fund its current operations during the 12 months from the date the consolidated financial statements are issued. </w:t>
      </w:r>
    </w:p>
    <w:p>
      <w:pPr>
        <w:pStyle w:val="TextBody"/>
        <w:bidi w:val="0"/>
        <w:spacing w:before="320" w:after="0"/>
        <w:jc w:val="left"/>
        <w:rPr>
          <w:rFonts w:ascii="arial" w:hAnsi="arial"/>
          <w:b/>
          <w:sz w:val="24"/>
        </w:rPr>
      </w:pPr>
      <w:r>
        <w:rPr>
          <w:rFonts w:ascii="arial" w:hAnsi="arial"/>
          <w:b/>
          <w:sz w:val="24"/>
        </w:rPr>
        <w:t xml:space="preserve">2. Summary of significant accounting policies </w:t>
      </w:r>
    </w:p>
    <w:p>
      <w:pPr>
        <w:pStyle w:val="TextBody"/>
        <w:bidi w:val="0"/>
        <w:spacing w:before="160" w:after="0"/>
        <w:jc w:val="left"/>
        <w:rPr>
          <w:rFonts w:ascii="arial" w:hAnsi="arial"/>
          <w:sz w:val="20"/>
        </w:rPr>
      </w:pPr>
      <w:r>
        <w:rPr>
          <w:rFonts w:ascii="arial" w:hAnsi="arial"/>
          <w:i/>
          <w:sz w:val="20"/>
        </w:rPr>
        <w:t>Use of estimates</w:t>
      </w:r>
      <w:r>
        <w:rPr>
          <w:rFonts w:ascii="arial" w:hAnsi="arial"/>
          <w:sz w:val="20"/>
        </w:rPr>
        <w:t xml:space="preserve">—The preparation of financial statements in conformity with GAAP requires management to make estimates and assumptions that affect the reported amounts of assets and liabilities at the date of the consolidated financial statements, disclosure of contingent liabilities, and the reported amounts of revenue and expense. These judgments, estimates, and assumptions are used for, but not limited to, revenue recognition, the estimates of the fair values of convertible preferred stock and common stock, stock-based compensation, inventory, expected credit losses, accrued liabilities, the fair value of warrant liability, discount rate associated with the leases, the estimates of the warranty expenses, and the valuation of allowances associated with deferred tax assets. The Company bases its estimates on various factors and information, which may include,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but are not limited to, history and prior experience, the Company’s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To the extent there are material differences between the Company’s estimates and the actual results, the Company’s future consolidated results of operations may be affected. </w:t>
      </w:r>
    </w:p>
    <w:p>
      <w:pPr>
        <w:pStyle w:val="TextBody"/>
        <w:bidi w:val="0"/>
        <w:spacing w:before="160" w:after="0"/>
        <w:jc w:val="left"/>
        <w:rPr>
          <w:rFonts w:ascii="arial" w:hAnsi="arial"/>
          <w:sz w:val="20"/>
        </w:rPr>
      </w:pPr>
      <w:r>
        <w:rPr>
          <w:rFonts w:ascii="arial" w:hAnsi="arial"/>
          <w:i/>
          <w:sz w:val="20"/>
        </w:rPr>
        <w:t>Segments</w:t>
      </w:r>
      <w:r>
        <w:rPr>
          <w:rFonts w:ascii="arial" w:hAnsi="arial"/>
          <w:sz w:val="20"/>
        </w:rPr>
        <w:t xml:space="preserve">—The Company’s chief operating decision maker (“CODM”) is its Chief Executive Officer, who manages the business globally within one operating and reportable segment. The segment focuses on developing a highly sensitive proteomic liquid biopsy platform and sells instruments, consumables, and services based on this platform to enable early detection of diseases. The CODM reviews and evaluates operating performance based on consolidated net loss, which is reported on the consolidated statements of operations. The CODM manages operations on a consolidated basis for the purposes of allocating resources, making operating decisions, and evaluating financial performance. Assets, measures of profitability and significant segment expenses reviewed by the CODM are consistent with the presentation and disclosure in these consolidated financial statements. </w:t>
      </w:r>
    </w:p>
    <w:p>
      <w:pPr>
        <w:pStyle w:val="TextBody"/>
        <w:bidi w:val="0"/>
        <w:spacing w:before="160" w:after="0"/>
        <w:jc w:val="left"/>
        <w:rPr>
          <w:rFonts w:ascii="arial" w:hAnsi="arial"/>
          <w:sz w:val="20"/>
        </w:rPr>
      </w:pPr>
      <w:r>
        <w:rPr>
          <w:rFonts w:ascii="arial" w:hAnsi="arial"/>
          <w:i/>
          <w:sz w:val="20"/>
        </w:rPr>
        <w:t>Cash and cash equivalents</w:t>
      </w:r>
      <w:r>
        <w:rPr>
          <w:rFonts w:ascii="arial" w:hAnsi="arial"/>
          <w:sz w:val="20"/>
        </w:rPr>
        <w:t xml:space="preserve">—The Company considers all highly liquid investments with an original maturity from the date of purchase of three months or less to be cash equivalents. Cash and cash equivalents consist of cash deposited with banks, money market funds and US treasury securities. </w:t>
      </w:r>
    </w:p>
    <w:p>
      <w:pPr>
        <w:pStyle w:val="TextBody"/>
        <w:bidi w:val="0"/>
        <w:spacing w:before="160" w:after="0"/>
        <w:jc w:val="left"/>
        <w:rPr>
          <w:rFonts w:ascii="arial" w:hAnsi="arial"/>
          <w:sz w:val="20"/>
        </w:rPr>
      </w:pPr>
      <w:r>
        <w:rPr>
          <w:rFonts w:ascii="arial" w:hAnsi="arial"/>
          <w:i/>
          <w:sz w:val="20"/>
        </w:rPr>
        <w:t>Restricted cash</w:t>
      </w:r>
      <w:r>
        <w:rPr>
          <w:rFonts w:ascii="arial" w:hAnsi="arial"/>
          <w:sz w:val="20"/>
        </w:rPr>
        <w:t xml:space="preserve">—Restricted cash consists of cash and cash equivalents held in a bank deposit account to secure a standby letter of credit from JPMorgan Chase Bank in lieu of security deposit for the lease of the Company’s current facility. </w:t>
      </w:r>
    </w:p>
    <w:p>
      <w:pPr>
        <w:pStyle w:val="TextBody"/>
        <w:bidi w:val="0"/>
        <w:spacing w:before="160" w:after="0"/>
        <w:jc w:val="left"/>
        <w:rPr>
          <w:rFonts w:ascii="arial" w:hAnsi="arial"/>
          <w:sz w:val="20"/>
        </w:rPr>
      </w:pPr>
      <w:r>
        <w:rPr>
          <w:rFonts w:ascii="arial" w:hAnsi="arial"/>
          <w:sz w:val="20"/>
        </w:rPr>
        <w:t xml:space="preserve">The following table provides a reconciliation of cash, cash equivalents, and restricted cash reported within the consolidated balance sheets that sum totals of the same amounts shown in the consolidated statements of cash flows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4"/>
        <w:gridCol w:w="325"/>
        <w:gridCol w:w="140"/>
        <w:gridCol w:w="694"/>
        <w:gridCol w:w="60"/>
        <w:gridCol w:w="325"/>
        <w:gridCol w:w="140"/>
        <w:gridCol w:w="694"/>
        <w:gridCol w:w="63"/>
      </w:tblGrid>
      <w:tr>
        <w:trPr/>
        <w:tc>
          <w:tcPr>
            <w:tcW w:w="7764"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64" w:type="dxa"/>
            <w:tcBorders>
              <w:top w:val="single" w:sz="16" w:space="0" w:color="000000"/>
            </w:tcBorders>
            <w:tcMar>
              <w:top w:w="28" w:type="dxa"/>
            </w:tcMar>
            <w:vAlign w:val="center"/>
          </w:tcPr>
          <w:p>
            <w:pPr>
              <w:pStyle w:val="TableContents"/>
              <w:bidi w:val="0"/>
              <w:spacing w:before="0" w:after="283"/>
              <w:jc w:val="left"/>
              <w:rPr/>
            </w:pPr>
            <w:r>
              <w:rPr/>
              <w:t> </w:t>
            </w:r>
          </w:p>
        </w:tc>
        <w:tc>
          <w:tcPr>
            <w:tcW w:w="244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053"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63" w:type="dxa"/>
            <w:tcBorders/>
            <w:vAlign w:val="bottom"/>
          </w:tcPr>
          <w:p>
            <w:pPr>
              <w:pStyle w:val="TableContents"/>
              <w:bidi w:val="0"/>
              <w:spacing w:before="0" w:after="283"/>
              <w:jc w:val="left"/>
              <w:rPr/>
            </w:pPr>
            <w:r>
              <w:rPr/>
              <w:t> </w:t>
            </w:r>
          </w:p>
        </w:tc>
      </w:tr>
      <w:tr>
        <w:trPr/>
        <w:tc>
          <w:tcPr>
            <w:tcW w:w="7764"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3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3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26,770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30,002</w:t>
            </w:r>
          </w:p>
        </w:tc>
        <w:tc>
          <w:tcPr>
            <w:tcW w:w="63" w:type="dxa"/>
            <w:tcBorders/>
            <w:shd w:fill="CCEEFF" w:val="clear"/>
            <w:vAlign w:val="bottom"/>
          </w:tcPr>
          <w:p>
            <w:pPr>
              <w:pStyle w:val="TableContents"/>
              <w:bidi w:val="0"/>
              <w:spacing w:before="0" w:after="283"/>
              <w:jc w:val="left"/>
              <w:rPr/>
            </w:pPr>
            <w:r>
              <w:rPr/>
              <w:t> </w:t>
            </w:r>
          </w:p>
        </w:tc>
      </w:tr>
      <w:tr>
        <w:trPr/>
        <w:tc>
          <w:tcPr>
            <w:tcW w:w="7764" w:type="dxa"/>
            <w:tcBorders/>
          </w:tcPr>
          <w:p>
            <w:pPr>
              <w:pStyle w:val="TableContents"/>
              <w:bidi w:val="0"/>
              <w:spacing w:before="0" w:after="0"/>
              <w:jc w:val="left"/>
              <w:rPr>
                <w:rFonts w:ascii="arial" w:hAnsi="arial"/>
                <w:sz w:val="20"/>
              </w:rPr>
            </w:pPr>
            <w:r>
              <w:rPr>
                <w:rFonts w:ascii="arial" w:hAnsi="arial"/>
                <w:sz w:val="20"/>
              </w:rPr>
              <w:t>Restricted cash</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4,907</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4,907</w:t>
            </w:r>
          </w:p>
        </w:tc>
        <w:tc>
          <w:tcPr>
            <w:tcW w:w="63" w:type="dxa"/>
            <w:tcBorders/>
            <w:vAlign w:val="bottom"/>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13"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Total cash, cash equivalents and restricted cash</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31,677</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34,909</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i/>
          <w:sz w:val="20"/>
        </w:rPr>
        <w:t>Short-term investments</w:t>
      </w:r>
      <w:r>
        <w:rPr>
          <w:rFonts w:ascii="arial" w:hAnsi="arial"/>
          <w:sz w:val="20"/>
        </w:rPr>
        <w:t xml:space="preserve">—The Company’s investments consist of marketable debt securities which have been classified as available-for-sale and are carried at estimated fair value as determined based upon quoted market prices or pricing models for similar securities. Short-term investments consist of highly liquid investments which will mature within the next 12 months. Management determines the appropriate classification of its marketable securities at the time of purchase and reevaluates such designation as of each balance sheet date. Unrealized gains and losses on these securities are included as a separate component of accumulated other comprehensive gain or loss. Realized gains and losses are included in interest income, net. Interest earned on investments is included in interest income, net. The cost of securities sold is based on the specific identification method. The Company does not have any available-for-sale debt securities with maturity dates beyond 12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Short-term investments which include U.S. Treasury securities are valued using observable inputs from similar assets; these assets are classified as Level 2 of the fair value hierarchy. </w:t>
      </w:r>
    </w:p>
    <w:p>
      <w:pPr>
        <w:pStyle w:val="TextBody"/>
        <w:bidi w:val="0"/>
        <w:spacing w:before="160" w:after="0"/>
        <w:jc w:val="left"/>
        <w:rPr>
          <w:rFonts w:ascii="arial" w:hAnsi="arial"/>
          <w:sz w:val="20"/>
        </w:rPr>
      </w:pPr>
      <w:r>
        <w:rPr>
          <w:rFonts w:ascii="arial" w:hAnsi="arial"/>
          <w:sz w:val="20"/>
        </w:rPr>
        <w:t xml:space="preserve">For short-term investments in an unrealized loss position, the Company periodically assesses its portfolio for impairment. If the Company intends or may be required to sell the available-for-sale debt securities prior to maturity, the amortized cost basis is reduced to fair value with the loss recognized in other expense, net. Otherwise, the Company evaluates whether a credit loss exists by considering information about the collectability of the instrument, current market conditions and reasonable and supportable forecasts of economic conditions. The Company recognizes an allowance for credit losses, up to the amount of the unrealized loss with the provision presented in other expense, net. Any remaining unrealized losses are recognized in other comprehensive income (loss). At December 31, 2024, there were no unrealized losses on the Company’s available-for-sale securities, and the Company had no available-for-sale securities as of December 31, 2025; accordingly, no credit loss reserves were recognized. </w:t>
      </w:r>
    </w:p>
    <w:p>
      <w:pPr>
        <w:pStyle w:val="TextBody"/>
        <w:bidi w:val="0"/>
        <w:spacing w:before="160" w:after="0"/>
        <w:jc w:val="left"/>
        <w:rPr>
          <w:rFonts w:ascii="arial" w:hAnsi="arial"/>
          <w:sz w:val="20"/>
        </w:rPr>
      </w:pPr>
      <w:r>
        <w:rPr>
          <w:rFonts w:ascii="arial" w:hAnsi="arial"/>
          <w:sz w:val="20"/>
        </w:rPr>
        <w:t xml:space="preserve">Refer to Fair Value Measurements section for more information on the Company’s short-term investments. </w:t>
      </w:r>
    </w:p>
    <w:p>
      <w:pPr>
        <w:pStyle w:val="TextBody"/>
        <w:bidi w:val="0"/>
        <w:spacing w:before="160" w:after="0"/>
        <w:jc w:val="left"/>
        <w:rPr>
          <w:rFonts w:ascii="arial" w:hAnsi="arial"/>
          <w:sz w:val="20"/>
        </w:rPr>
      </w:pPr>
      <w:r>
        <w:rPr>
          <w:rFonts w:ascii="arial" w:hAnsi="arial"/>
          <w:i/>
          <w:sz w:val="20"/>
        </w:rPr>
        <w:t>Concentration of credit risk</w:t>
      </w:r>
      <w:r>
        <w:rPr>
          <w:rFonts w:ascii="arial" w:hAnsi="arial"/>
          <w:sz w:val="20"/>
        </w:rPr>
        <w:t xml:space="preserve">—Financial instruments that potentially expose the Company to concentrations of credit risk consist principally of cash and cash equivalents, short-term investments and accounts receivable. Cash is invested in accordance with the Company’s investment policy, which includes guidelines intended to minimize and diversify credit risk. Most of the Company’s investments are not federally insured. The Company has credit risk related to the collectability of its accounts receivable. The Company performs initial and ongoing evaluations of its customers’ credit history or financial position and generally extends credit on account without collateral. The Company has not experienced any significant credit losses to date. </w:t>
      </w:r>
    </w:p>
    <w:p>
      <w:pPr>
        <w:pStyle w:val="TextBody"/>
        <w:bidi w:val="0"/>
        <w:spacing w:before="160" w:after="0"/>
        <w:jc w:val="left"/>
        <w:rPr>
          <w:rFonts w:ascii="arial" w:hAnsi="arial"/>
          <w:sz w:val="20"/>
        </w:rPr>
      </w:pPr>
      <w:r>
        <w:rPr>
          <w:rFonts w:ascii="arial" w:hAnsi="arial"/>
          <w:i/>
          <w:sz w:val="20"/>
        </w:rPr>
        <w:t>Business concentrations</w:t>
      </w:r>
      <w:r>
        <w:rPr>
          <w:rFonts w:ascii="arial" w:hAnsi="arial"/>
          <w:sz w:val="20"/>
        </w:rPr>
        <w:t xml:space="preserve">—The Company’s instruments and subcomponents are primarily sourced from third party contract manufacturers. The Company is reliant on several suppliers for key components consumables. A significant disruption in the supply chain may impact the production of the Company’s products for a substantial period of time and could have a material adverse effect on its business, financial condition and results of operations. </w:t>
      </w:r>
    </w:p>
    <w:p>
      <w:pPr>
        <w:pStyle w:val="TextBody"/>
        <w:bidi w:val="0"/>
        <w:spacing w:before="160" w:after="0"/>
        <w:jc w:val="left"/>
        <w:rPr>
          <w:rFonts w:ascii="arial" w:hAnsi="arial"/>
          <w:sz w:val="20"/>
        </w:rPr>
      </w:pPr>
      <w:r>
        <w:rPr>
          <w:rFonts w:ascii="arial" w:hAnsi="arial"/>
          <w:i/>
          <w:sz w:val="20"/>
        </w:rPr>
        <w:t>Accounts receivable</w:t>
      </w:r>
      <w:r>
        <w:rPr>
          <w:rFonts w:ascii="arial" w:hAnsi="arial"/>
          <w:sz w:val="20"/>
        </w:rPr>
        <w:t xml:space="preserve">—Accounts receivable consists of amounts due from customers for the sales of products and services. The Company regularly evaluates the collectability of its trade receivable balances based on a combination of factors. If it is determined that the customer will be unable to meet its financial obligation to us, such as in the case of a bankruptcy filing, deterioration in the customer’s operating results, financial position, or other material events impacting its business, a specific allowance for credit losses is recorded to reduce the related receivable to the amount expected to be recovered, given all information presently available. Except for this allowance, the Company believes its receivables are collectible. Delinquency of accounts receivable is determined based on contractual terms, customer payment history, and current creditworthiness. </w:t>
      </w:r>
    </w:p>
    <w:p>
      <w:pPr>
        <w:pStyle w:val="TextBody"/>
        <w:bidi w:val="0"/>
        <w:spacing w:before="160" w:after="0"/>
        <w:jc w:val="left"/>
        <w:rPr>
          <w:rFonts w:ascii="arial" w:hAnsi="arial"/>
          <w:sz w:val="20"/>
        </w:rPr>
      </w:pPr>
      <w:r>
        <w:rPr>
          <w:rFonts w:ascii="arial" w:hAnsi="arial"/>
          <w:sz w:val="20"/>
        </w:rPr>
        <w:t xml:space="preserve">The Company determined that no allowance on the outstanding accounts receivable balance was required to cover unexpected credit losses as of December 31, 2024, and 2025. During the years ended December 31, 2024 and 2025, the Company did not write off any accounts receivable considered to be uncollectible. </w:t>
      </w:r>
    </w:p>
    <w:p>
      <w:pPr>
        <w:pStyle w:val="TextBody"/>
        <w:bidi w:val="0"/>
        <w:spacing w:before="160" w:after="0"/>
        <w:jc w:val="left"/>
        <w:rPr>
          <w:rFonts w:ascii="arial" w:hAnsi="arial"/>
          <w:sz w:val="20"/>
        </w:rPr>
      </w:pPr>
      <w:r>
        <w:rPr>
          <w:rFonts w:ascii="arial" w:hAnsi="arial"/>
          <w:sz w:val="20"/>
        </w:rPr>
        <w:t xml:space="preserve">During the years ended December 31, 2024, and 2025, no customer represented 10% or more of total revenue. </w:t>
      </w:r>
    </w:p>
    <w:p>
      <w:pPr>
        <w:pStyle w:val="TextBody"/>
        <w:bidi w:val="0"/>
        <w:spacing w:before="160" w:after="0"/>
        <w:jc w:val="left"/>
        <w:rPr>
          <w:rFonts w:ascii="arial" w:hAnsi="arial"/>
          <w:sz w:val="20"/>
        </w:rPr>
      </w:pPr>
      <w:r>
        <w:rPr>
          <w:rFonts w:ascii="arial" w:hAnsi="arial"/>
          <w:sz w:val="20"/>
        </w:rPr>
        <w:t xml:space="preserve">As of December 31, 2024, and 2025, one customer represented 10% or more of net accounts receivable.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Inventory</w:t>
      </w:r>
      <w:r>
        <w:rPr>
          <w:rFonts w:ascii="arial" w:hAnsi="arial"/>
          <w:sz w:val="20"/>
        </w:rPr>
        <w:t xml:space="preserve">—The Company values inventory at the lower of cost or net realizable value and determines the cost of inventory using the first-in, first-out (FIFO) method. Cost consists primarily of material, labor and manufacturing overhead expenses (including fixed production-overhead costs). Manufacturing overhead is predominantly comprised of labor and facility costs and is capitalized into inventory based on a FIFO method. </w:t>
      </w:r>
    </w:p>
    <w:p>
      <w:pPr>
        <w:pStyle w:val="TextBody"/>
        <w:bidi w:val="0"/>
        <w:spacing w:before="160" w:after="0"/>
        <w:jc w:val="left"/>
        <w:rPr>
          <w:rFonts w:ascii="arial" w:hAnsi="arial"/>
          <w:sz w:val="20"/>
        </w:rPr>
      </w:pPr>
      <w:r>
        <w:rPr>
          <w:rFonts w:ascii="arial" w:hAnsi="arial"/>
          <w:i/>
          <w:sz w:val="20"/>
        </w:rPr>
        <w:t>Contract assets</w:t>
      </w:r>
      <w:r>
        <w:rPr>
          <w:rFonts w:ascii="arial" w:hAnsi="arial"/>
          <w:sz w:val="20"/>
        </w:rPr>
        <w:t xml:space="preserve">—Contract assets represent the Company’s right to consideration for goods or services transferred to a customer, but where the right to payment is conditional on something other than the passage of time (such as the completion of another performance obligation). Contract assets are presented on the consolidated balance sheets as a separate line item under current assets. </w:t>
      </w:r>
    </w:p>
    <w:p>
      <w:pPr>
        <w:pStyle w:val="TextBody"/>
        <w:bidi w:val="0"/>
        <w:spacing w:before="160" w:after="0"/>
        <w:jc w:val="left"/>
        <w:rPr>
          <w:rFonts w:ascii="arial" w:hAnsi="arial"/>
          <w:sz w:val="20"/>
        </w:rPr>
      </w:pPr>
      <w:r>
        <w:rPr>
          <w:rFonts w:ascii="arial" w:hAnsi="arial"/>
          <w:i/>
          <w:sz w:val="20"/>
        </w:rPr>
        <w:t>Property and equipment, net</w:t>
      </w:r>
      <w:r>
        <w:rPr>
          <w:rFonts w:ascii="arial" w:hAnsi="arial"/>
          <w:sz w:val="20"/>
        </w:rPr>
        <w:t xml:space="preserve">—Property and equipment are stated at cost, less accumulated depreciation and amortization. Depreciation and amortization are computed using the straight-line method over the estimated useful lives of the respective assets, generally three to five years. Leasehold improvements are amortized over the shorter of estimated useful lives of the assets, or the lease term. Expenditures for repairs and maintenance are charged to expense as incurred. Upon disposition, the cost and related accumulated depreciation are removed from the consolidated balance sheets, and the resulting gain or loss is reflected in the consolidated statements of operations. </w:t>
      </w:r>
    </w:p>
    <w:p>
      <w:pPr>
        <w:pStyle w:val="TextBody"/>
        <w:bidi w:val="0"/>
        <w:spacing w:before="160" w:after="0"/>
        <w:jc w:val="left"/>
        <w:rPr>
          <w:rFonts w:ascii="arial" w:hAnsi="arial"/>
          <w:sz w:val="20"/>
        </w:rPr>
      </w:pPr>
      <w:r>
        <w:rPr>
          <w:rFonts w:ascii="arial" w:hAnsi="arial"/>
          <w:i/>
          <w:sz w:val="20"/>
        </w:rPr>
        <w:t>Impairment of long-lived assets</w:t>
      </w:r>
      <w:r>
        <w:rPr>
          <w:rFonts w:ascii="arial" w:hAnsi="arial"/>
          <w:sz w:val="20"/>
        </w:rPr>
        <w:t xml:space="preserve">—The Company reviews long-lived assets for impairment whenever events or changes in circumstances indicate that the carrying amount of an asset may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As of December 31, 2024 and 2025, the Company has not experienced any impairment losses on its long-lived assets. </w:t>
      </w:r>
    </w:p>
    <w:p>
      <w:pPr>
        <w:pStyle w:val="TextBody"/>
        <w:bidi w:val="0"/>
        <w:spacing w:before="160" w:after="0"/>
        <w:jc w:val="left"/>
        <w:rPr>
          <w:rFonts w:ascii="arial" w:hAnsi="arial"/>
          <w:sz w:val="20"/>
        </w:rPr>
      </w:pPr>
      <w:r>
        <w:rPr>
          <w:rFonts w:ascii="arial" w:hAnsi="arial"/>
          <w:i/>
          <w:sz w:val="20"/>
        </w:rPr>
        <w:t>Leases</w:t>
      </w:r>
      <w:r>
        <w:rPr>
          <w:rFonts w:ascii="arial" w:hAnsi="arial"/>
          <w:sz w:val="20"/>
        </w:rPr>
        <w:t xml:space="preserve">—At inception of a contract, the Company determines whether an arrangement is or contains a lease. For each lease, the Company determines the classification as either an operating lease or a finance lease. At the commencement date of a lease, the Company recognizes a lease asset for its right to use the underlying asset and a lease liability for the corresponding lease obligation. Operating leases are included in operating lease right-of-use assets and operating lease liabilities, short-term and long-term in the consolidated balance sheets.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 where it is reasonably assured the Company will exercise the option to extend the contract. </w:t>
      </w:r>
    </w:p>
    <w:p>
      <w:pPr>
        <w:pStyle w:val="TextBody"/>
        <w:bidi w:val="0"/>
        <w:spacing w:before="160" w:after="0"/>
        <w:jc w:val="left"/>
        <w:rPr>
          <w:rFonts w:ascii="arial" w:hAnsi="arial"/>
          <w:sz w:val="20"/>
        </w:rPr>
      </w:pPr>
      <w:r>
        <w:rPr>
          <w:rFonts w:ascii="arial" w:hAnsi="arial"/>
          <w:sz w:val="20"/>
        </w:rPr>
        <w:t xml:space="preserve">Lease liabilities that become due within one year of the balance sheet date are classified as current liabilities. </w:t>
      </w:r>
    </w:p>
    <w:p>
      <w:pPr>
        <w:pStyle w:val="TextBody"/>
        <w:bidi w:val="0"/>
        <w:spacing w:before="160" w:after="0"/>
        <w:jc w:val="left"/>
        <w:rPr>
          <w:rFonts w:ascii="arial" w:hAnsi="arial"/>
          <w:sz w:val="20"/>
        </w:rPr>
      </w:pPr>
      <w:r>
        <w:rPr>
          <w:rFonts w:ascii="arial" w:hAnsi="arial"/>
          <w:sz w:val="20"/>
        </w:rPr>
        <w:t xml:space="preserve">For its existing classes of assets, the Company elected to account for lease and non-lease components as a single lease component. The Company has also elected not to recognize right-of-use assets and lease liabilities for leases with a term of 12 months or less. Fixed lease payments on operating leases are recognized on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straight-line basis over the expected lease term. Variable lease expenses that are not considered fixed are recognized as incurred. </w:t>
      </w:r>
    </w:p>
    <w:p>
      <w:pPr>
        <w:pStyle w:val="TextBody"/>
        <w:bidi w:val="0"/>
        <w:spacing w:before="160" w:after="0"/>
        <w:jc w:val="left"/>
        <w:rPr>
          <w:rFonts w:ascii="arial" w:hAnsi="arial"/>
          <w:sz w:val="20"/>
        </w:rPr>
      </w:pPr>
      <w:r>
        <w:rPr>
          <w:rFonts w:ascii="arial" w:hAnsi="arial"/>
          <w:sz w:val="20"/>
        </w:rPr>
        <w:t xml:space="preserve">For sales-type leases of its instruments in which the Company is the lessor, the Company recognizes profit at the commencement date and interest income from its sales-type leases over the lease term using the effective interest method. As of December 31, 2024 and 2025, the Company has no material sales-type leases. </w:t>
      </w:r>
    </w:p>
    <w:p>
      <w:pPr>
        <w:pStyle w:val="TextBody"/>
        <w:bidi w:val="0"/>
        <w:spacing w:before="160" w:after="0"/>
        <w:jc w:val="left"/>
        <w:rPr>
          <w:rFonts w:ascii="arial" w:hAnsi="arial"/>
          <w:sz w:val="20"/>
        </w:rPr>
      </w:pPr>
      <w:r>
        <w:rPr>
          <w:rFonts w:ascii="arial" w:hAnsi="arial"/>
          <w:i/>
          <w:sz w:val="20"/>
        </w:rPr>
        <w:t>Software development costs</w:t>
      </w:r>
      <w:r>
        <w:rPr>
          <w:rFonts w:ascii="arial" w:hAnsi="arial"/>
          <w:sz w:val="20"/>
        </w:rPr>
        <w:t xml:space="preserve">—Costs to develop software for use in research and development activities with no alternative future use are charged to expense when incurred. The Company capitalizes certain costs incurred during the application development phase for other internal-use software. The Company has gross capitalized development costs of $2.9 million and $4.0 million as of December 31, 2024 and 2025 respectively, and amortizes these costs over an estimated useful life of three years. During the years ended December 31, 2024 and 2025, the Company recorded amortization expense of $0.9 million and $1.1 million respectively. As of December 31, 2024 and 2025, the balance of unamortized capitalized software costs was $2.0 million and $2.0 million respectively. </w:t>
      </w:r>
    </w:p>
    <w:p>
      <w:pPr>
        <w:pStyle w:val="TextBody"/>
        <w:bidi w:val="0"/>
        <w:spacing w:before="160" w:after="0"/>
        <w:jc w:val="left"/>
        <w:rPr>
          <w:rFonts w:ascii="arial" w:hAnsi="arial"/>
          <w:sz w:val="20"/>
        </w:rPr>
      </w:pPr>
      <w:r>
        <w:rPr>
          <w:rFonts w:ascii="arial" w:hAnsi="arial"/>
          <w:sz w:val="20"/>
        </w:rPr>
        <w:t xml:space="preserve">Software embedded in the ARGO HT System is considered software that is sold or otherwise marketed. Accordingly, the Company expenses development costs as incurred prior to establishing technological feasibility of the software. To date, no material costs have been incurred subsequent to establishment of technological feasibility. </w:t>
      </w:r>
    </w:p>
    <w:p>
      <w:pPr>
        <w:pStyle w:val="TextBody"/>
        <w:bidi w:val="0"/>
        <w:spacing w:before="160" w:after="0"/>
        <w:jc w:val="left"/>
        <w:rPr>
          <w:rFonts w:ascii="arial" w:hAnsi="arial"/>
          <w:sz w:val="20"/>
        </w:rPr>
      </w:pPr>
      <w:r>
        <w:rPr>
          <w:rFonts w:ascii="arial" w:hAnsi="arial"/>
          <w:i/>
          <w:sz w:val="20"/>
        </w:rPr>
        <w:t>Convertible preferred stock</w:t>
      </w:r>
      <w:r>
        <w:rPr>
          <w:rFonts w:ascii="arial" w:hAnsi="arial"/>
          <w:sz w:val="20"/>
        </w:rPr>
        <w:t xml:space="preserve">—The Company records all shares of Preferred Stock, as defined below, at their respective fair values on the dates of issuance, less issuance costs. The holders of the Preferred Stock have no voluntary rights to redeem shares. A liquidation or winding up of the Company, a change in control, or a sale of substantially all of the Company’s assets would constitute a redemption event which may be outside of the Company’s control. Accordingly, these shares are considered contingently redeemable and are classified as temporary equity on the consolidated balance sheets. The carrying value of the Preferred Stock has not been adjusted to its redemption value because redemption was not probable as of the balance sheet date presented. The carrying value of the Preferred Stock will be adjusted to its redemption value if redemption becomes probable in the future. </w:t>
      </w:r>
    </w:p>
    <w:p>
      <w:pPr>
        <w:pStyle w:val="TextBody"/>
        <w:bidi w:val="0"/>
        <w:spacing w:before="160" w:after="0"/>
        <w:jc w:val="left"/>
        <w:rPr>
          <w:rFonts w:ascii="arial" w:hAnsi="arial"/>
          <w:sz w:val="20"/>
        </w:rPr>
      </w:pPr>
      <w:r>
        <w:rPr>
          <w:rFonts w:ascii="arial" w:hAnsi="arial"/>
          <w:i/>
          <w:sz w:val="20"/>
        </w:rPr>
        <w:t>Fair value measurements</w:t>
      </w:r>
      <w:r>
        <w:rPr>
          <w:rFonts w:ascii="arial" w:hAnsi="arial"/>
          <w:sz w:val="20"/>
        </w:rPr>
        <w:t xml:space="preserve">—The Company accounts for assets and liabilities carried at fair value in accordance with Accounting Standards Codification (“ASC”) 820, </w:t>
      </w:r>
      <w:r>
        <w:rPr>
          <w:rFonts w:ascii="arial" w:hAnsi="arial"/>
          <w:i/>
          <w:sz w:val="20"/>
        </w:rPr>
        <w:t>Fair Value Measurements and Disclosures</w:t>
      </w:r>
      <w:r>
        <w:rPr>
          <w:rFonts w:ascii="arial" w:hAnsi="arial"/>
          <w:sz w:val="20"/>
        </w:rPr>
        <w:t xml:space="preserv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w:t>
      </w:r>
    </w:p>
    <w:p>
      <w:pPr>
        <w:pStyle w:val="TextBody"/>
        <w:bidi w:val="0"/>
        <w:spacing w:before="160" w:after="0"/>
        <w:jc w:val="left"/>
        <w:rPr>
          <w:rFonts w:ascii="arial" w:hAnsi="arial"/>
          <w:sz w:val="20"/>
        </w:rPr>
      </w:pPr>
      <w:r>
        <w:rPr>
          <w:rFonts w:ascii="arial" w:hAnsi="arial"/>
          <w:sz w:val="20"/>
        </w:rPr>
        <w:t xml:space="preserve">Assets and liabilities recorded at fair value are measured and classified in accordance with a three-tiered fair value hierarchy based on the observability of the inputs available in the market used to measure fair value: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1</w:t>
      </w:r>
      <w:r>
        <w:rPr>
          <w:rFonts w:ascii="arial" w:hAnsi="arial"/>
          <w:sz w:val="20"/>
        </w:rPr>
        <w:t xml:space="preserve">—Observable inputs such as unadjusted, quoted prices in active markets for identical assets or liabilities at the measurement date.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2</w:t>
      </w:r>
      <w:r>
        <w:rPr>
          <w:rFonts w:ascii="arial" w:hAnsi="arial"/>
          <w:sz w:val="20"/>
        </w:rPr>
        <w:t xml:space="preserve">—Inputs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Level</w:t>
      </w:r>
      <w:r>
        <w:rPr>
          <w:rFonts w:ascii="arial" w:hAnsi="arial"/>
          <w:sz w:val="20"/>
        </w:rPr>
        <w:t> </w:t>
      </w:r>
      <w:r>
        <w:rPr>
          <w:rFonts w:ascii="arial" w:hAnsi="arial"/>
          <w:b/>
          <w:sz w:val="20"/>
        </w:rPr>
        <w:t>3</w:t>
      </w:r>
      <w:r>
        <w:rPr>
          <w:rFonts w:ascii="arial" w:hAnsi="arial"/>
          <w:sz w:val="20"/>
        </w:rPr>
        <w:t xml:space="preserve">—Unobservable inputs that reflect management’s best estimate of what market participants would use in pricing the asset or liability at the measurement date. Consideration is given to the risk inherent in the valuation technique and the risk inherent in the inputs to the model. </w:t>
      </w:r>
    </w:p>
    <w:p>
      <w:pPr>
        <w:pStyle w:val="TextBody"/>
        <w:bidi w:val="0"/>
        <w:spacing w:before="160" w:after="0"/>
        <w:jc w:val="left"/>
        <w:rPr>
          <w:rFonts w:ascii="arial" w:hAnsi="arial"/>
          <w:sz w:val="20"/>
        </w:rPr>
      </w:pPr>
      <w:r>
        <w:rPr>
          <w:rFonts w:ascii="arial" w:hAnsi="arial"/>
          <w:i/>
          <w:sz w:val="20"/>
        </w:rPr>
        <w:t>Revenue recognition</w:t>
      </w:r>
      <w:r>
        <w:rPr>
          <w:rFonts w:ascii="arial" w:hAnsi="arial"/>
          <w:sz w:val="20"/>
        </w:rPr>
        <w:t>—The Company recognizes revenue in accordance with ASC 606</w:t>
      </w:r>
      <w:r>
        <w:rPr>
          <w:rFonts w:ascii="arial" w:hAnsi="arial"/>
          <w:i/>
          <w:sz w:val="20"/>
        </w:rPr>
        <w:t>, Revenue from Contracts with Customers</w:t>
      </w:r>
      <w:r>
        <w:rPr>
          <w:rFonts w:ascii="arial" w:hAnsi="arial"/>
          <w:sz w:val="20"/>
        </w:rPr>
        <w:t xml:space="preserve">. Revenue is recognized upon transfer of control of promised products or services to customers in an amount that reflects the consideration the Company expects to receive in exchange for those products or services. </w:t>
      </w:r>
    </w:p>
    <w:p>
      <w:pPr>
        <w:pStyle w:val="TextBody"/>
        <w:bidi w:val="0"/>
        <w:spacing w:before="160" w:after="0"/>
        <w:jc w:val="left"/>
        <w:rPr>
          <w:rFonts w:ascii="arial" w:hAnsi="arial"/>
          <w:sz w:val="20"/>
        </w:rPr>
      </w:pPr>
      <w:r>
        <w:rPr>
          <w:rFonts w:ascii="arial" w:hAnsi="arial"/>
          <w:sz w:val="20"/>
        </w:rPr>
        <w:t xml:space="preserve">As part of its assessment of each contract, the Company evaluates certain factors including the customer’s ability to pay, or credit risk. For each contract, the Company considers the promises to transfer products, each of which is distinct, to be the identified performance obligations. In determining the transaction price, the price stated on the purchase order is typically fixed and represents the net consideration which the Company expects to be entitled to, and therefore there is no variable consideration. Revenue is recorded net of sales taxes collected on behalf of governmental authorities. The Company allocates the transaction price to each distinct product based on its relative standalone selling price. The Company determines standalone selling price using internal costs, profit objectives, and historical pricing practices with consideration of current market conditions. If the product or service has no history of sales or if the sales volume is not sufficient, the Company relies upon prices set by management, adjusted for applicable discounts. Our revenue arrangements generally do not provide a right of return. The payment term is usually net 30 days. </w:t>
      </w:r>
    </w:p>
    <w:p>
      <w:pPr>
        <w:pStyle w:val="TextBody"/>
        <w:bidi w:val="0"/>
        <w:spacing w:before="160" w:after="0"/>
        <w:jc w:val="left"/>
        <w:rPr>
          <w:rFonts w:ascii="arial" w:hAnsi="arial"/>
          <w:sz w:val="20"/>
        </w:rPr>
      </w:pPr>
      <w:r>
        <w:rPr>
          <w:rFonts w:ascii="arial" w:hAnsi="arial"/>
          <w:sz w:val="20"/>
        </w:rPr>
        <w:t xml:space="preserve">The Company sells its products through multiple channels, including direct sales to end customers and, to a lesser extent, through distributors. In certain instances, the Company may drop-ship products directly to end customers on behalf of distributors. The distributors have pricing discretion with the end customer, are viewed by the end customer as primarily responsible for fulfilling the obligation and obtain risks and rewards of ownership upon shipment even in drop-shipment arrangements. As a result, distributors are considered the Company’s customer in these arrangements. Revenue is recognized at the point in time when control of the product transfers to the customer, which is typically upon shipment or delivery, based on the contractual delivery terms. </w:t>
      </w:r>
    </w:p>
    <w:p>
      <w:pPr>
        <w:pStyle w:val="TextBody"/>
        <w:bidi w:val="0"/>
        <w:spacing w:before="160" w:after="0"/>
        <w:jc w:val="left"/>
        <w:rPr>
          <w:rFonts w:ascii="arial" w:hAnsi="arial"/>
          <w:sz w:val="20"/>
        </w:rPr>
      </w:pPr>
      <w:r>
        <w:rPr>
          <w:rFonts w:ascii="arial" w:hAnsi="arial"/>
          <w:sz w:val="20"/>
        </w:rPr>
        <w:t xml:space="preserve">The Company generates revenue from sales of its analytical research equipment along with related reagents. The Company also recognizes service revenue under its Technology Access Program and maintenance contracts. The Company recognizes revenue from these revenue streams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Sale of ARGOTM HT instruments</w:t>
            </w:r>
            <w:r>
              <w:rPr>
                <w:rFonts w:ascii="arial" w:hAnsi="arial"/>
                <w:sz w:val="20"/>
              </w:rPr>
              <w:t xml:space="preserve">—The ARGO HT System is a fully automated, high-throughput precision proteomics instrument which facilitates the analysis of large sets of biological samples. Revenue from the sale of ARGO HT instruments is generally recognized upon delivery to the end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Sale of reagent kits and other consumables</w:t>
            </w:r>
            <w:r>
              <w:rPr>
                <w:rFonts w:ascii="arial" w:hAnsi="arial"/>
                <w:sz w:val="20"/>
              </w:rPr>
              <w:t xml:space="preserve">—The reagents used to run on the ARGO HT System are specialized and proprietary and can be provided to the customers only by the Company. Revenue from the sale of reagent kits and other consumables is generally recognized upon shipment.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Technology Access Program (“TAP”)</w:t>
            </w:r>
            <w:r>
              <w:rPr>
                <w:rFonts w:ascii="arial" w:hAnsi="arial"/>
                <w:sz w:val="20"/>
              </w:rPr>
              <w:t xml:space="preserve">—TAP provides customers the opportunity to ship samples to be tested at the Company’s lab using either NULISA multiplex or single-plex assays, and analytical reports are delivered via an electronic file. Revenue from TAP services is generally recognized when the analysis data is made available to the customer.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Sale of maintenance contracts</w:t>
            </w:r>
            <w:r>
              <w:rPr>
                <w:rFonts w:ascii="arial" w:hAnsi="arial"/>
                <w:sz w:val="20"/>
              </w:rPr>
              <w:t xml:space="preserve">—The Company typically provides a one-year limited warranty for the ARGO HT System. After expiration of the initial warranty period, the Company offers a further 12-month maintenance contract, which can be purchased separately or together with the ARGO HT System. Revenue from these maintenance contracts is recognized as the services are rendered, typically ratably over the contract term. For the years ended December 31, 2024 and 2025, no material amounts were recognized as revenue under maintenance contracts. </w:t>
            </w:r>
          </w:p>
        </w:tc>
      </w:tr>
    </w:tbl>
    <w:p>
      <w:pPr>
        <w:pStyle w:val="TextBody"/>
        <w:bidi w:val="0"/>
        <w:spacing w:before="160" w:after="0"/>
        <w:jc w:val="left"/>
        <w:rPr>
          <w:rFonts w:ascii="arial" w:hAnsi="arial"/>
          <w:sz w:val="20"/>
        </w:rPr>
      </w:pPr>
      <w:r>
        <w:rPr>
          <w:rFonts w:ascii="arial" w:hAnsi="arial"/>
          <w:i/>
          <w:sz w:val="20"/>
        </w:rPr>
        <w:t>Deferred revenue</w:t>
      </w:r>
      <w:r>
        <w:rPr>
          <w:rFonts w:ascii="arial" w:hAnsi="arial"/>
          <w:sz w:val="20"/>
        </w:rPr>
        <w:t xml:space="preserve">—Deferred revenue consists of payments received in advance of revenue recognition primarily related to service agreements, also referred to as maintenance contracts. Revenue under these agreements is recognized over the related service period. </w:t>
      </w:r>
    </w:p>
    <w:p>
      <w:pPr>
        <w:pStyle w:val="TextBody"/>
        <w:bidi w:val="0"/>
        <w:spacing w:before="160" w:after="0"/>
        <w:jc w:val="left"/>
        <w:rPr>
          <w:rFonts w:ascii="arial" w:hAnsi="arial"/>
          <w:sz w:val="20"/>
        </w:rPr>
      </w:pPr>
      <w:r>
        <w:rPr>
          <w:rFonts w:ascii="arial" w:hAnsi="arial"/>
          <w:i/>
          <w:sz w:val="20"/>
        </w:rPr>
        <w:t>Cost of revenue</w:t>
      </w:r>
      <w:r>
        <w:rPr>
          <w:rFonts w:ascii="arial" w:hAnsi="arial"/>
          <w:sz w:val="20"/>
        </w:rPr>
        <w:t xml:space="preserve">—Product cost of revenue reflects manufacturing costs incurred in the production process of the Company’s instruments and consumables, including personnel and related costs, third-party manufacturing costs, costs of component materials, labor and overhead, packaging and delivery costs, royalty payments, inventory valuation adjustments, and allocated costs including facilities and information technology. </w:t>
      </w:r>
    </w:p>
    <w:p>
      <w:pPr>
        <w:pStyle w:val="TextBody"/>
        <w:bidi w:val="0"/>
        <w:spacing w:before="160" w:after="0"/>
        <w:jc w:val="left"/>
        <w:rPr>
          <w:rFonts w:ascii="arial" w:hAnsi="arial"/>
          <w:sz w:val="20"/>
        </w:rPr>
      </w:pPr>
      <w:r>
        <w:rPr>
          <w:rFonts w:ascii="arial" w:hAnsi="arial"/>
          <w:sz w:val="20"/>
        </w:rPr>
        <w:t xml:space="preserve">Service cost of revenue includes the direct costs of components used in support, repair and maintenance of customer instruments as well as the cost of personnel, materials, shipping and support infrastructure necessary to support the Company’s installed customer base. </w:t>
      </w:r>
    </w:p>
    <w:p>
      <w:pPr>
        <w:pStyle w:val="TextBody"/>
        <w:bidi w:val="0"/>
        <w:spacing w:before="160" w:after="0"/>
        <w:jc w:val="left"/>
        <w:rPr>
          <w:rFonts w:ascii="arial" w:hAnsi="arial"/>
          <w:sz w:val="20"/>
        </w:rPr>
      </w:pPr>
      <w:r>
        <w:rPr>
          <w:rFonts w:ascii="arial" w:hAnsi="arial"/>
          <w:i/>
          <w:sz w:val="20"/>
        </w:rPr>
        <w:t>Shipping and handling costs</w:t>
      </w:r>
      <w:r>
        <w:rPr>
          <w:rFonts w:ascii="arial" w:hAnsi="arial"/>
          <w:sz w:val="20"/>
        </w:rPr>
        <w:t xml:space="preserve">—Charges to customers for shipping and handling charged are included in the transaction price and recorded as revenue. Shipping and handling costs are included in the Company’s cost of revenue. </w:t>
      </w:r>
    </w:p>
    <w:p>
      <w:pPr>
        <w:pStyle w:val="TextBody"/>
        <w:bidi w:val="0"/>
        <w:spacing w:before="160" w:after="0"/>
        <w:jc w:val="left"/>
        <w:rPr>
          <w:rFonts w:ascii="arial" w:hAnsi="arial"/>
          <w:sz w:val="20"/>
        </w:rPr>
      </w:pPr>
      <w:r>
        <w:rPr>
          <w:rFonts w:ascii="arial" w:hAnsi="arial"/>
          <w:i/>
          <w:sz w:val="20"/>
        </w:rPr>
        <w:t>Research and development</w:t>
      </w:r>
      <w:r>
        <w:rPr>
          <w:rFonts w:ascii="arial" w:hAnsi="arial"/>
          <w:sz w:val="20"/>
        </w:rPr>
        <w:t xml:space="preserve">—Research and development costs consist primarily of salaries and benefits, occupancy, materials and supplies, contracted research, consulting arrangements, laboratory supplies, and other expenses incurred in the pursuit of the Company’s research and development programs. Research and development costs are expensed as incurred. </w:t>
      </w:r>
    </w:p>
    <w:p>
      <w:pPr>
        <w:pStyle w:val="TextBody"/>
        <w:bidi w:val="0"/>
        <w:spacing w:before="160" w:after="0"/>
        <w:jc w:val="left"/>
        <w:rPr>
          <w:rFonts w:ascii="arial" w:hAnsi="arial"/>
          <w:sz w:val="20"/>
        </w:rPr>
      </w:pPr>
      <w:r>
        <w:rPr>
          <w:rFonts w:ascii="arial" w:hAnsi="arial"/>
          <w:i/>
          <w:sz w:val="20"/>
        </w:rPr>
        <w:t>Advertising costs</w:t>
      </w:r>
      <w:r>
        <w:rPr>
          <w:rFonts w:ascii="arial" w:hAnsi="arial"/>
          <w:sz w:val="20"/>
        </w:rPr>
        <w:t xml:space="preserve">—Advertising costs consist primarily of expenses for advertising, promotional materials, tradeshows, brochures and websites and are expensed as incurred. Advertising costs totaled $0.9 million and $1.5 million for the years ended December 31, 2024 and 2025 respectively. </w:t>
      </w:r>
    </w:p>
    <w:p>
      <w:pPr>
        <w:pStyle w:val="TextBody"/>
        <w:bidi w:val="0"/>
        <w:spacing w:before="160" w:after="0"/>
        <w:jc w:val="left"/>
        <w:rPr>
          <w:rFonts w:ascii="arial" w:hAnsi="arial"/>
          <w:sz w:val="20"/>
        </w:rPr>
      </w:pPr>
      <w:r>
        <w:rPr>
          <w:rFonts w:ascii="arial" w:hAnsi="arial"/>
          <w:i/>
          <w:sz w:val="20"/>
        </w:rPr>
        <w:t>Stock-based compensation</w:t>
      </w:r>
      <w:r>
        <w:rPr>
          <w:rFonts w:ascii="arial" w:hAnsi="arial"/>
          <w:sz w:val="20"/>
        </w:rPr>
        <w:t xml:space="preserve">—The Company records stock-based compensation expense for share-based payment awards based on their grant date fair value which is estimated using the Black-Scholes option-pricing model for options. The Company determined the fair value of restricted stock awards based on the fair value of the Company’s stock on the grant date. The fair value of share-based payment awards is recognized as compensation expense on a straight-line basis over the requisite service period in which the awards are expected to vest and forfeitures are recognized as they occur. </w:t>
      </w:r>
    </w:p>
    <w:p>
      <w:pPr>
        <w:pStyle w:val="TextBody"/>
        <w:bidi w:val="0"/>
        <w:spacing w:before="160" w:after="0"/>
        <w:jc w:val="left"/>
        <w:rPr>
          <w:rFonts w:ascii="arial" w:hAnsi="arial"/>
          <w:sz w:val="20"/>
        </w:rPr>
      </w:pPr>
      <w:r>
        <w:rPr>
          <w:rFonts w:ascii="arial" w:hAnsi="arial"/>
          <w:sz w:val="20"/>
        </w:rPr>
        <w:t xml:space="preserve">The Black-Scholes model considers several variables and assumptions in estimating the fair value of share-based payment awards. These variables include the per share fair value of the underlying common stock, exercise price, expected term, risk-free interest rate, expected annual dividend yield, and the expected stock price volatility over the expected term. </w:t>
      </w:r>
    </w:p>
    <w:p>
      <w:pPr>
        <w:pStyle w:val="TextBody"/>
        <w:bidi w:val="0"/>
        <w:spacing w:before="160" w:after="0"/>
        <w:jc w:val="left"/>
        <w:rPr>
          <w:rFonts w:ascii="arial" w:hAnsi="arial"/>
          <w:sz w:val="20"/>
        </w:rPr>
      </w:pPr>
      <w:r>
        <w:rPr>
          <w:rFonts w:ascii="arial" w:hAnsi="arial"/>
          <w:i/>
          <w:sz w:val="20"/>
        </w:rPr>
        <w:t>Income taxes</w:t>
      </w:r>
      <w:r>
        <w:rPr>
          <w:rFonts w:ascii="arial" w:hAnsi="arial"/>
          <w:sz w:val="20"/>
        </w:rPr>
        <w:t xml:space="preserve">—The Company accounts for income taxes under the liability method. Under this method, deferred tax assets and liabilities are determined based on the difference between the financial statement and tax bases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of assets and liabilities using enacted tax rates in effect for the year in which the differences are expected to affect taxable income. Valuation allowances are established when necessary to reduce deferred tax assets to the amounts expected to be realized. </w:t>
      </w:r>
    </w:p>
    <w:p>
      <w:pPr>
        <w:pStyle w:val="TextBody"/>
        <w:bidi w:val="0"/>
        <w:spacing w:before="160" w:after="0"/>
        <w:jc w:val="left"/>
        <w:rPr>
          <w:rFonts w:ascii="arial" w:hAnsi="arial"/>
          <w:sz w:val="20"/>
        </w:rPr>
      </w:pPr>
      <w:r>
        <w:rPr>
          <w:rFonts w:ascii="arial" w:hAnsi="arial"/>
          <w:sz w:val="20"/>
        </w:rPr>
        <w:t xml:space="preserve">The Company follows the provisions of ASC 740, </w:t>
      </w:r>
      <w:r>
        <w:rPr>
          <w:rFonts w:ascii="arial" w:hAnsi="arial"/>
          <w:i/>
          <w:sz w:val="20"/>
        </w:rPr>
        <w:t xml:space="preserve">Accounting for Uncertainty in Income Taxes, </w:t>
      </w:r>
      <w:r>
        <w:rPr>
          <w:rFonts w:ascii="arial" w:hAnsi="arial"/>
          <w:sz w:val="20"/>
        </w:rPr>
        <w:t xml:space="preserve">for the recognition, measurement, presentation, and disclosure in the consolidated financial statements of any uncertain tax positions that have been taken or expected to be taken on a tax return. No liability related to uncertain tax positions has been recorded in the consolidated financial statements. It is the Company’s policy to include penalties and interest expenses related to income taxes as a component of provision for income taxes, as necessary. The Company has not reported any interest or penalties associated with income tax since inception. </w:t>
      </w:r>
    </w:p>
    <w:p>
      <w:pPr>
        <w:pStyle w:val="TextBody"/>
        <w:bidi w:val="0"/>
        <w:spacing w:before="160" w:after="0"/>
        <w:jc w:val="left"/>
        <w:rPr>
          <w:rFonts w:ascii="arial" w:hAnsi="arial"/>
          <w:sz w:val="20"/>
        </w:rPr>
      </w:pPr>
      <w:r>
        <w:rPr>
          <w:rFonts w:ascii="arial" w:hAnsi="arial"/>
          <w:i/>
          <w:sz w:val="20"/>
        </w:rPr>
        <w:t>Functional currency and foreign currency translation</w:t>
      </w:r>
      <w:r>
        <w:rPr>
          <w:rFonts w:ascii="arial" w:hAnsi="arial"/>
          <w:sz w:val="20"/>
        </w:rPr>
        <w:t xml:space="preserve">—The Company uses the U.S. dollar as its reporting currency. Transactions in the subsidiary are recorded in the functional currency of the respective subsidiary and transactions denominated in currencies other than the functional currency give rise to foreign exchange remeasurement (monetary assets and liabilities) and related gains and losses that are classified in other (expense) income, net in the consolidated statements of operations. The Company has not entered into any foreign currency derivative instruments to hedge its foreign currency positions. </w:t>
      </w:r>
    </w:p>
    <w:p>
      <w:pPr>
        <w:pStyle w:val="TextBody"/>
        <w:bidi w:val="0"/>
        <w:spacing w:before="160" w:after="0"/>
        <w:jc w:val="left"/>
        <w:rPr>
          <w:rFonts w:ascii="arial" w:hAnsi="arial"/>
          <w:sz w:val="20"/>
        </w:rPr>
      </w:pPr>
      <w:r>
        <w:rPr>
          <w:rFonts w:ascii="arial" w:hAnsi="arial"/>
          <w:sz w:val="20"/>
        </w:rPr>
        <w:t xml:space="preserve">For the subsidiary whose functional currency is not the U.S. dollar, the Company uses the average exchange rate for the period and the exchange rate at the balance sheet date to translate the operating results and financial position to the U.S. dollar, respectively, which is the Company’s reporting currency. Translation differences are recorded in accumulated other comprehensive loss, a component of stockholders’ deficit. </w:t>
      </w:r>
    </w:p>
    <w:p>
      <w:pPr>
        <w:pStyle w:val="TextBody"/>
        <w:bidi w:val="0"/>
        <w:spacing w:before="160" w:after="0"/>
        <w:jc w:val="left"/>
        <w:rPr>
          <w:rFonts w:ascii="arial" w:hAnsi="arial"/>
          <w:sz w:val="20"/>
        </w:rPr>
      </w:pPr>
      <w:r>
        <w:rPr>
          <w:rFonts w:ascii="arial" w:hAnsi="arial"/>
          <w:i/>
          <w:sz w:val="20"/>
        </w:rPr>
        <w:t>Net loss per share</w:t>
      </w:r>
      <w:r>
        <w:rPr>
          <w:rFonts w:ascii="arial" w:hAnsi="arial"/>
          <w:sz w:val="20"/>
        </w:rPr>
        <w:t xml:space="preserve">—Net loss per share is computed using the two-class method required for multiple classes of common stock and participating securities. As the liquidation and dividend rights and sharing of losses of Class A common stock and Class B common stock are identical, the undistributed earnings are allocated on a proportionate basis and the resulting net loss per share will, therefore, be the same for both Class A and Class B common stock on an individual or combined basis. </w:t>
      </w:r>
    </w:p>
    <w:p>
      <w:pPr>
        <w:pStyle w:val="TextBody"/>
        <w:bidi w:val="0"/>
        <w:spacing w:before="160" w:after="0"/>
        <w:jc w:val="left"/>
        <w:rPr>
          <w:rFonts w:ascii="arial" w:hAnsi="arial"/>
          <w:sz w:val="20"/>
        </w:rPr>
      </w:pPr>
      <w:r>
        <w:rPr>
          <w:rFonts w:ascii="arial" w:hAnsi="arial"/>
          <w:sz w:val="20"/>
        </w:rPr>
        <w:t xml:space="preserve">The Company’s participating securities include the Company’s convertible preferred stock, as the holders are entitled to receive noncumulative dividends on a pari passu basis in the event that a dividend is paid on common stock. The holders of convertible preferred stock do not have a contractual obligation to share in losses. </w:t>
      </w:r>
    </w:p>
    <w:p>
      <w:pPr>
        <w:pStyle w:val="TextBody"/>
        <w:bidi w:val="0"/>
        <w:spacing w:before="160" w:after="0"/>
        <w:jc w:val="left"/>
        <w:rPr>
          <w:rFonts w:ascii="arial" w:hAnsi="arial"/>
          <w:sz w:val="20"/>
        </w:rPr>
      </w:pPr>
      <w:r>
        <w:rPr>
          <w:rFonts w:ascii="arial" w:hAnsi="arial"/>
          <w:sz w:val="20"/>
        </w:rPr>
        <w:t xml:space="preserve">Basic net loss per share is computed by dividing net loss available to common stockholders by the weighted-average number of shares of common stock outstanding during the period, adjusted for outstanding shares that are subject to repurchase or vesting. In calculating the net loss available to common stockholders, net loss is adjusted for dividends declared of convertible preferred stock and any deemed dividends. </w:t>
      </w:r>
    </w:p>
    <w:p>
      <w:pPr>
        <w:pStyle w:val="TextBody"/>
        <w:bidi w:val="0"/>
        <w:spacing w:before="160" w:after="0"/>
        <w:jc w:val="left"/>
        <w:rPr>
          <w:rFonts w:ascii="arial" w:hAnsi="arial"/>
          <w:sz w:val="20"/>
        </w:rPr>
      </w:pPr>
      <w:r>
        <w:rPr>
          <w:rFonts w:ascii="arial" w:hAnsi="arial"/>
          <w:sz w:val="20"/>
        </w:rPr>
        <w:t xml:space="preserve">For the calculation of diluted net loss per share, basic net loss per share is adjusted by the effect of dilutive securities, including convertible preferred stock, awards under the Company’s equity compensation plan and common stock warrants. Net loss available to common stockholders used in calculating basic net loss per share is adjusted for declared dividends and deemed dividends associated with dilutive convertible preferred stock. Diluted net loss per share is computed by dividing the resulting net loss available to common stockholders by the weighted-average number of shares of common stock outstanding.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Research and development funding agreements</w:t>
      </w:r>
      <w:r>
        <w:rPr>
          <w:rFonts w:ascii="arial" w:hAnsi="arial"/>
          <w:sz w:val="20"/>
        </w:rPr>
        <w:t xml:space="preserve">—Funding arrangements with third parties to support the Company’s research and development efforts are evaluated to determine proper accounting treatment under applicable accounting guidance. If an arrangement is determined to represent an exchange transaction, it is further assessed to determine whether the counterparty meets the definition of a customer. When the transaction is not considered an exchange transaction, and the arrangement does not represent a funded research and development liability, the funding is generally recognized as a reduction of research and development expense in the consolidated statements of operations as the Company performs activities that qualify under the terms of the arrangement. Any amounts received in advance of related expenses incurred are recorded as a liability until such expenses are recognized. </w:t>
      </w:r>
    </w:p>
    <w:p>
      <w:pPr>
        <w:pStyle w:val="TextBody"/>
        <w:bidi w:val="0"/>
        <w:spacing w:before="160" w:after="0"/>
        <w:jc w:val="left"/>
        <w:rPr>
          <w:rFonts w:ascii="arial" w:hAnsi="arial"/>
          <w:b/>
          <w:i/>
          <w:sz w:val="20"/>
        </w:rPr>
      </w:pPr>
      <w:r>
        <w:rPr>
          <w:rFonts w:ascii="arial" w:hAnsi="arial"/>
          <w:b/>
          <w:i/>
          <w:sz w:val="20"/>
        </w:rPr>
        <w:t xml:space="preserve">Recent accounting pronouncements not yet adopted </w:t>
      </w:r>
    </w:p>
    <w:p>
      <w:pPr>
        <w:pStyle w:val="TextBody"/>
        <w:bidi w:val="0"/>
        <w:spacing w:before="160" w:after="0"/>
        <w:jc w:val="left"/>
        <w:rPr>
          <w:rFonts w:ascii="arial" w:hAnsi="arial"/>
          <w:sz w:val="20"/>
        </w:rPr>
      </w:pPr>
      <w:r>
        <w:rPr>
          <w:rFonts w:ascii="arial" w:hAnsi="arial"/>
          <w:sz w:val="20"/>
        </w:rPr>
        <w:t xml:space="preserve">In November 2024, the FASB issued ASU 2024-03, </w:t>
      </w:r>
      <w:r>
        <w:rPr>
          <w:rFonts w:ascii="arial" w:hAnsi="arial"/>
          <w:i/>
          <w:sz w:val="20"/>
        </w:rPr>
        <w:t>Income Statement—Reporting Comprehensive Income—Expense Disaggregation Disclosures (Subtopic 220-40)</w:t>
      </w:r>
      <w:r>
        <w:rPr>
          <w:rFonts w:ascii="arial" w:hAnsi="arial"/>
          <w:sz w:val="20"/>
        </w:rPr>
        <w:t xml:space="preserve">: </w:t>
      </w:r>
      <w:r>
        <w:rPr>
          <w:rFonts w:ascii="arial" w:hAnsi="arial"/>
          <w:i/>
          <w:sz w:val="20"/>
        </w:rPr>
        <w:t>Disaggregation of Income Statement Expenses</w:t>
      </w:r>
      <w:r>
        <w:rPr>
          <w:rFonts w:ascii="arial" w:hAnsi="arial"/>
          <w:sz w:val="20"/>
        </w:rPr>
        <w:t xml:space="preserve">.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This update is effective for annual reporting periods beginning after December 15, 2026, and interim periods within annual reporting periods beginning after December 15, 2027. Early adoption is permitted. The Company is currently evaluating the impact on its financial statements of adopting this guidance. </w:t>
      </w:r>
    </w:p>
    <w:p>
      <w:pPr>
        <w:pStyle w:val="TextBody"/>
        <w:bidi w:val="0"/>
        <w:spacing w:before="160" w:after="0"/>
        <w:jc w:val="left"/>
        <w:rPr>
          <w:rFonts w:ascii="arial" w:hAnsi="arial"/>
          <w:sz w:val="20"/>
        </w:rPr>
      </w:pPr>
      <w:r>
        <w:rPr>
          <w:rFonts w:ascii="arial" w:hAnsi="arial"/>
          <w:sz w:val="20"/>
        </w:rPr>
        <w:t xml:space="preserve">In September 2025, the FASB issued ASU 2025-06, Intangibles-Goodwill and Other-internal-use software (Subtopic 350-40): </w:t>
      </w:r>
      <w:r>
        <w:rPr>
          <w:rFonts w:ascii="arial" w:hAnsi="arial"/>
          <w:i/>
          <w:sz w:val="20"/>
        </w:rPr>
        <w:t>Targeted Improvements to the Accounting for internal-use software</w:t>
      </w:r>
      <w:r>
        <w:rPr>
          <w:rFonts w:ascii="arial" w:hAnsi="arial"/>
          <w:sz w:val="20"/>
        </w:rPr>
        <w:t xml:space="preserve">. The standard removes references to development stages and requires capitalization of software costs when management has authorized and committed to funding the software project, it is probable that the project will be completed, and the software will be used to perform the function intended. The ASU is effective for fiscal years beginning after December 15, 2027, and interim periods within those annual reporting periods, with early adoption permitted. The Company is currently evaluating the impact on its financial statements of adopting this guidance. </w:t>
      </w:r>
    </w:p>
    <w:p>
      <w:pPr>
        <w:pStyle w:val="TextBody"/>
        <w:bidi w:val="0"/>
        <w:spacing w:before="160" w:after="0"/>
        <w:jc w:val="left"/>
        <w:rPr>
          <w:rFonts w:ascii="arial" w:hAnsi="arial"/>
          <w:b/>
          <w:i/>
          <w:sz w:val="20"/>
        </w:rPr>
      </w:pPr>
      <w:r>
        <w:rPr>
          <w:rFonts w:ascii="arial" w:hAnsi="arial"/>
          <w:b/>
          <w:i/>
          <w:sz w:val="20"/>
        </w:rPr>
        <w:t xml:space="preserve">Recently adopted accounting pronouncement </w:t>
      </w:r>
    </w:p>
    <w:p>
      <w:pPr>
        <w:pStyle w:val="TextBody"/>
        <w:bidi w:val="0"/>
        <w:spacing w:before="160" w:after="0"/>
        <w:jc w:val="left"/>
        <w:rPr>
          <w:rFonts w:ascii="arial" w:hAnsi="arial"/>
          <w:sz w:val="20"/>
        </w:rPr>
      </w:pPr>
      <w:r>
        <w:rPr>
          <w:rFonts w:ascii="arial" w:hAnsi="arial"/>
          <w:sz w:val="20"/>
        </w:rPr>
        <w:t xml:space="preserve">In December 2023, the Financial Accounting Standards Board (“FASB”) issued ASU 2023-09, </w:t>
      </w:r>
      <w:r>
        <w:rPr>
          <w:rFonts w:ascii="arial" w:hAnsi="arial"/>
          <w:i/>
          <w:sz w:val="20"/>
        </w:rPr>
        <w:t>Income Taxes (Topic 740): Improvements to Income Tax Disclosures</w:t>
      </w:r>
      <w:r>
        <w:rPr>
          <w:rFonts w:ascii="arial" w:hAnsi="arial"/>
          <w:sz w:val="20"/>
        </w:rPr>
        <w:t xml:space="preserve">. This update requires that public entities on an annual basis, (1) in the rate reconciliation, disclose specific categories and provide additional information for reconciling items that meet a quantitative threshold; (2) about income taxes paid, disclose the amount of income taxes paid (net of refunds received) disaggregated by federal, state, and foreign taxes and by individual jurisdiction in which income taxes paid (net of refunds received) is equal to or greater than 5% of total income taxes paid (net of refunds received); and (3) disclose income (or loss) from continuing operations before income tax expense (or benefit) disaggregated between domestic and foreign and income tax expense (or benefit) disaggregated by federal, state, and foreign. This update is effective for annual periods beginning after December 15, 2024. The Company adopted the standard and applied the disclosure requirements on a prospective basis effective for the year ended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3. Revenue </w:t>
      </w:r>
    </w:p>
    <w:p>
      <w:pPr>
        <w:pStyle w:val="TextBody"/>
        <w:bidi w:val="0"/>
        <w:spacing w:before="160" w:after="0"/>
        <w:jc w:val="left"/>
        <w:rPr>
          <w:rFonts w:ascii="arial" w:hAnsi="arial"/>
          <w:sz w:val="20"/>
        </w:rPr>
      </w:pPr>
      <w:r>
        <w:rPr>
          <w:rFonts w:ascii="arial" w:hAnsi="arial"/>
          <w:sz w:val="20"/>
        </w:rPr>
        <w:t xml:space="preserve">The Company reported revenue in the following categories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6"/>
        <w:gridCol w:w="322"/>
        <w:gridCol w:w="140"/>
        <w:gridCol w:w="695"/>
        <w:gridCol w:w="60"/>
        <w:gridCol w:w="322"/>
        <w:gridCol w:w="140"/>
        <w:gridCol w:w="695"/>
        <w:gridCol w:w="65"/>
      </w:tblGrid>
      <w:tr>
        <w:trPr/>
        <w:tc>
          <w:tcPr>
            <w:tcW w:w="7766"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66" w:type="dxa"/>
            <w:tcBorders>
              <w:top w:val="single" w:sz="16" w:space="0" w:color="000000"/>
            </w:tcBorders>
            <w:tcMar>
              <w:top w:w="28" w:type="dxa"/>
            </w:tcMar>
            <w:vAlign w:val="center"/>
          </w:tcPr>
          <w:p>
            <w:pPr>
              <w:pStyle w:val="TableContents"/>
              <w:bidi w:val="0"/>
              <w:spacing w:before="0" w:after="283"/>
              <w:jc w:val="left"/>
              <w:rPr/>
            </w:pPr>
            <w:r>
              <w:rPr/>
              <w:t> </w:t>
            </w:r>
          </w:p>
        </w:tc>
        <w:tc>
          <w:tcPr>
            <w:tcW w:w="243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6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52"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7766" w:type="dxa"/>
            <w:tcBorders>
              <w:bottom w:val="single" w:sz="2" w:space="0" w:color="000000"/>
            </w:tcBorders>
            <w:tcMar>
              <w:bottom w:w="28" w:type="dxa"/>
            </w:tcMar>
            <w:vAlign w:val="bottom"/>
          </w:tcPr>
          <w:p>
            <w:pPr>
              <w:pStyle w:val="TableContents"/>
              <w:bidi w:val="0"/>
              <w:spacing w:before="0" w:after="283"/>
              <w:jc w:val="left"/>
              <w:rPr/>
            </w:pPr>
            <w:r>
              <w:rPr/>
              <w:t>  </w:t>
            </w:r>
          </w:p>
        </w:tc>
        <w:tc>
          <w:tcPr>
            <w:tcW w:w="322" w:type="dxa"/>
            <w:tcBorders>
              <w:bottom w:val="single" w:sz="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 w:type="dxa"/>
            <w:tcBorders>
              <w:bottom w:val="single" w:sz="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66" w:type="dxa"/>
            <w:tcBorders/>
            <w:shd w:fill="CCEEFF" w:val="clear"/>
          </w:tcPr>
          <w:p>
            <w:pPr>
              <w:pStyle w:val="TableContents"/>
              <w:bidi w:val="0"/>
              <w:spacing w:before="0" w:after="0"/>
              <w:jc w:val="left"/>
              <w:rPr>
                <w:rFonts w:ascii="arial" w:hAnsi="arial"/>
                <w:sz w:val="20"/>
              </w:rPr>
            </w:pPr>
            <w:r>
              <w:rPr>
                <w:rFonts w:ascii="arial" w:hAnsi="arial"/>
                <w:sz w:val="20"/>
              </w:rPr>
              <w:t>Instruments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8,732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21,621</w:t>
            </w:r>
          </w:p>
        </w:tc>
        <w:tc>
          <w:tcPr>
            <w:tcW w:w="65" w:type="dxa"/>
            <w:tcBorders/>
            <w:shd w:fill="CCEEFF" w:val="clear"/>
            <w:vAlign w:val="bottom"/>
          </w:tcPr>
          <w:p>
            <w:pPr>
              <w:pStyle w:val="TableContents"/>
              <w:bidi w:val="0"/>
              <w:spacing w:before="0" w:after="283"/>
              <w:jc w:val="left"/>
              <w:rPr/>
            </w:pPr>
            <w:r>
              <w:rPr/>
              <w:t> </w:t>
            </w:r>
          </w:p>
        </w:tc>
      </w:tr>
      <w:tr>
        <w:trPr/>
        <w:tc>
          <w:tcPr>
            <w:tcW w:w="7766" w:type="dxa"/>
            <w:tcBorders/>
          </w:tcPr>
          <w:p>
            <w:pPr>
              <w:pStyle w:val="TableContents"/>
              <w:bidi w:val="0"/>
              <w:spacing w:before="0" w:after="0"/>
              <w:jc w:val="left"/>
              <w:rPr>
                <w:rFonts w:ascii="arial" w:hAnsi="arial"/>
                <w:sz w:val="20"/>
              </w:rPr>
            </w:pPr>
            <w:r>
              <w:rPr>
                <w:rFonts w:ascii="arial" w:hAnsi="arial"/>
                <w:sz w:val="20"/>
              </w:rPr>
              <w:t>Consumables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7,638</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36,818</w:t>
            </w:r>
          </w:p>
        </w:tc>
        <w:tc>
          <w:tcPr>
            <w:tcW w:w="65" w:type="dxa"/>
            <w:tcBorders/>
            <w:vAlign w:val="bottom"/>
          </w:tcPr>
          <w:p>
            <w:pPr>
              <w:pStyle w:val="TableContents"/>
              <w:bidi w:val="0"/>
              <w:spacing w:before="0" w:after="283"/>
              <w:jc w:val="left"/>
              <w:rPr/>
            </w:pPr>
            <w:r>
              <w:rPr/>
              <w:t> </w:t>
            </w:r>
          </w:p>
        </w:tc>
      </w:tr>
      <w:tr>
        <w:trPr/>
        <w:tc>
          <w:tcPr>
            <w:tcW w:w="7766" w:type="dxa"/>
            <w:tcBorders/>
            <w:shd w:fill="CCEEFF" w:val="clear"/>
          </w:tcPr>
          <w:p>
            <w:pPr>
              <w:pStyle w:val="TableContents"/>
              <w:bidi w:val="0"/>
              <w:spacing w:before="0" w:after="0"/>
              <w:jc w:val="left"/>
              <w:rPr>
                <w:rFonts w:ascii="arial" w:hAnsi="arial"/>
                <w:sz w:val="20"/>
              </w:rPr>
            </w:pPr>
            <w:r>
              <w:rPr>
                <w:rFonts w:ascii="arial" w:hAnsi="arial"/>
                <w:sz w:val="20"/>
              </w:rPr>
              <w:t>Services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8,772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15,272</w:t>
            </w:r>
          </w:p>
        </w:tc>
        <w:tc>
          <w:tcPr>
            <w:tcW w:w="65" w:type="dxa"/>
            <w:tcBorders/>
            <w:shd w:fill="CCEEFF" w:val="clear"/>
            <w:vAlign w:val="bottom"/>
          </w:tcPr>
          <w:p>
            <w:pPr>
              <w:pStyle w:val="TableContents"/>
              <w:bidi w:val="0"/>
              <w:spacing w:before="0" w:after="283"/>
              <w:jc w:val="left"/>
              <w:rPr/>
            </w:pPr>
            <w:r>
              <w:rPr/>
              <w:t> </w:t>
            </w:r>
          </w:p>
        </w:tc>
      </w:tr>
      <w:tr>
        <w:trPr/>
        <w:tc>
          <w:tcPr>
            <w:tcW w:w="7766" w:type="dxa"/>
            <w:tcBorders/>
          </w:tcPr>
          <w:p>
            <w:pPr>
              <w:pStyle w:val="TableContents"/>
              <w:bidi w:val="0"/>
              <w:spacing w:before="0" w:after="0"/>
              <w:jc w:val="left"/>
              <w:rPr>
                <w:rFonts w:ascii="arial" w:hAnsi="arial"/>
                <w:sz w:val="20"/>
              </w:rPr>
            </w:pPr>
            <w:r>
              <w:rPr>
                <w:rFonts w:ascii="arial" w:hAnsi="arial"/>
                <w:sz w:val="20"/>
              </w:rPr>
              <w:t>Other revenue</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500</w:t>
            </w:r>
          </w:p>
        </w:tc>
        <w:tc>
          <w:tcPr>
            <w:tcW w:w="65" w:type="dxa"/>
            <w:tcBorders/>
            <w:vAlign w:val="bottom"/>
          </w:tcPr>
          <w:p>
            <w:pPr>
              <w:pStyle w:val="TableContents"/>
              <w:bidi w:val="0"/>
              <w:spacing w:before="0" w:after="283"/>
              <w:jc w:val="left"/>
              <w:rPr/>
            </w:pPr>
            <w:r>
              <w:rPr/>
              <w:t> </w:t>
            </w:r>
          </w:p>
        </w:tc>
      </w:tr>
      <w:tr>
        <w:trPr/>
        <w:tc>
          <w:tcPr>
            <w:tcW w:w="7766"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12" w:type="dxa"/>
            <w:gridSpan w:val="5"/>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6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25,142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74,211</w:t>
            </w:r>
          </w:p>
        </w:tc>
        <w:tc>
          <w:tcPr>
            <w:tcW w:w="65" w:type="dxa"/>
            <w:tcBorders/>
            <w:shd w:fill="CCEEFF" w:val="clear"/>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 reported revenue in the following geographic areas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9"/>
        <w:gridCol w:w="325"/>
        <w:gridCol w:w="140"/>
        <w:gridCol w:w="681"/>
        <w:gridCol w:w="60"/>
        <w:gridCol w:w="325"/>
        <w:gridCol w:w="140"/>
        <w:gridCol w:w="681"/>
        <w:gridCol w:w="64"/>
      </w:tblGrid>
      <w:tr>
        <w:trPr/>
        <w:tc>
          <w:tcPr>
            <w:tcW w:w="778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89" w:type="dxa"/>
            <w:tcBorders>
              <w:top w:val="single" w:sz="16" w:space="0" w:color="000000"/>
            </w:tcBorders>
            <w:tcMar>
              <w:top w:w="28" w:type="dxa"/>
            </w:tcMar>
            <w:vAlign w:val="center"/>
          </w:tcPr>
          <w:p>
            <w:pPr>
              <w:pStyle w:val="TableContents"/>
              <w:bidi w:val="0"/>
              <w:spacing w:before="0" w:after="283"/>
              <w:jc w:val="left"/>
              <w:rPr/>
            </w:pPr>
            <w:r>
              <w:rPr/>
              <w:t> </w:t>
            </w:r>
          </w:p>
        </w:tc>
        <w:tc>
          <w:tcPr>
            <w:tcW w:w="241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8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027"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7789"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89" w:type="dxa"/>
            <w:tcBorders/>
            <w:shd w:fill="CCEEFF" w:val="clear"/>
          </w:tcPr>
          <w:p>
            <w:pPr>
              <w:pStyle w:val="TableContents"/>
              <w:bidi w:val="0"/>
              <w:spacing w:before="0" w:after="0"/>
              <w:jc w:val="left"/>
              <w:rPr>
                <w:rFonts w:ascii="arial" w:hAnsi="arial"/>
                <w:sz w:val="20"/>
              </w:rPr>
            </w:pPr>
            <w:r>
              <w:rPr>
                <w:rFonts w:ascii="arial" w:hAnsi="arial"/>
                <w:sz w:val="20"/>
              </w:rPr>
              <w:t>United States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14,553</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45,417</w:t>
            </w:r>
          </w:p>
        </w:tc>
        <w:tc>
          <w:tcPr>
            <w:tcW w:w="64" w:type="dxa"/>
            <w:tcBorders/>
            <w:shd w:fill="CCEEFF" w:val="clear"/>
            <w:vAlign w:val="bottom"/>
          </w:tcPr>
          <w:p>
            <w:pPr>
              <w:pStyle w:val="TableContents"/>
              <w:bidi w:val="0"/>
              <w:spacing w:before="0" w:after="283"/>
              <w:jc w:val="left"/>
              <w:rPr/>
            </w:pPr>
            <w:r>
              <w:rPr/>
              <w:t> </w:t>
            </w:r>
          </w:p>
        </w:tc>
      </w:tr>
      <w:tr>
        <w:trPr/>
        <w:tc>
          <w:tcPr>
            <w:tcW w:w="7789" w:type="dxa"/>
            <w:tcBorders/>
          </w:tcPr>
          <w:p>
            <w:pPr>
              <w:pStyle w:val="TableContents"/>
              <w:bidi w:val="0"/>
              <w:spacing w:before="0" w:after="0"/>
              <w:jc w:val="left"/>
              <w:rPr>
                <w:rFonts w:ascii="arial" w:hAnsi="arial"/>
                <w:sz w:val="20"/>
              </w:rPr>
            </w:pPr>
            <w:r>
              <w:rPr>
                <w:rFonts w:ascii="arial" w:hAnsi="arial"/>
                <w:sz w:val="20"/>
              </w:rPr>
              <w:t>Europe, Middle East and Africa (excluding Germany)</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5,652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14,119</w:t>
            </w:r>
          </w:p>
        </w:tc>
        <w:tc>
          <w:tcPr>
            <w:tcW w:w="64" w:type="dxa"/>
            <w:tcBorders/>
            <w:vAlign w:val="bottom"/>
          </w:tcPr>
          <w:p>
            <w:pPr>
              <w:pStyle w:val="TableContents"/>
              <w:bidi w:val="0"/>
              <w:spacing w:before="0" w:after="283"/>
              <w:jc w:val="left"/>
              <w:rPr/>
            </w:pPr>
            <w:r>
              <w:rPr/>
              <w:t> </w:t>
            </w:r>
          </w:p>
        </w:tc>
      </w:tr>
      <w:tr>
        <w:trPr/>
        <w:tc>
          <w:tcPr>
            <w:tcW w:w="7789" w:type="dxa"/>
            <w:tcBorders/>
            <w:shd w:fill="CCEEFF" w:val="clear"/>
          </w:tcPr>
          <w:p>
            <w:pPr>
              <w:pStyle w:val="TableContents"/>
              <w:bidi w:val="0"/>
              <w:spacing w:before="0" w:after="0"/>
              <w:jc w:val="left"/>
              <w:rPr>
                <w:rFonts w:ascii="arial" w:hAnsi="arial"/>
                <w:sz w:val="20"/>
              </w:rPr>
            </w:pPr>
            <w:r>
              <w:rPr>
                <w:rFonts w:ascii="arial" w:hAnsi="arial"/>
                <w:sz w:val="20"/>
              </w:rPr>
              <w:t>Germany</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4,421</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8,312</w:t>
            </w:r>
          </w:p>
        </w:tc>
        <w:tc>
          <w:tcPr>
            <w:tcW w:w="64" w:type="dxa"/>
            <w:tcBorders/>
            <w:shd w:fill="CCEEFF" w:val="clear"/>
            <w:vAlign w:val="bottom"/>
          </w:tcPr>
          <w:p>
            <w:pPr>
              <w:pStyle w:val="TableContents"/>
              <w:bidi w:val="0"/>
              <w:spacing w:before="0" w:after="283"/>
              <w:jc w:val="left"/>
              <w:rPr/>
            </w:pPr>
            <w:r>
              <w:rPr/>
              <w:t> </w:t>
            </w:r>
          </w:p>
        </w:tc>
      </w:tr>
      <w:tr>
        <w:trPr/>
        <w:tc>
          <w:tcPr>
            <w:tcW w:w="7789" w:type="dxa"/>
            <w:tcBorders/>
          </w:tcPr>
          <w:p>
            <w:pPr>
              <w:pStyle w:val="TableContents"/>
              <w:bidi w:val="0"/>
              <w:spacing w:before="0" w:after="0"/>
              <w:jc w:val="left"/>
              <w:rPr>
                <w:rFonts w:ascii="arial" w:hAnsi="arial"/>
                <w:sz w:val="20"/>
              </w:rPr>
            </w:pPr>
            <w:r>
              <w:rPr>
                <w:rFonts w:ascii="arial" w:hAnsi="arial"/>
                <w:sz w:val="20"/>
              </w:rPr>
              <w:t>Asia Pacific</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486</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5,824</w:t>
            </w:r>
          </w:p>
        </w:tc>
        <w:tc>
          <w:tcPr>
            <w:tcW w:w="64" w:type="dxa"/>
            <w:tcBorders/>
            <w:vAlign w:val="bottom"/>
          </w:tcPr>
          <w:p>
            <w:pPr>
              <w:pStyle w:val="TableContents"/>
              <w:bidi w:val="0"/>
              <w:spacing w:before="0" w:after="283"/>
              <w:jc w:val="left"/>
              <w:rPr/>
            </w:pPr>
            <w:r>
              <w:rPr/>
              <w:t> </w:t>
            </w:r>
          </w:p>
        </w:tc>
      </w:tr>
      <w:tr>
        <w:trPr/>
        <w:tc>
          <w:tcPr>
            <w:tcW w:w="7789" w:type="dxa"/>
            <w:tcBorders/>
            <w:shd w:fill="CCEEFF" w:val="clear"/>
          </w:tcPr>
          <w:p>
            <w:pPr>
              <w:pStyle w:val="TableContents"/>
              <w:bidi w:val="0"/>
              <w:spacing w:before="0" w:after="0"/>
              <w:jc w:val="left"/>
              <w:rPr>
                <w:rFonts w:ascii="arial" w:hAnsi="arial"/>
                <w:sz w:val="20"/>
              </w:rPr>
            </w:pPr>
            <w:r>
              <w:rPr>
                <w:rFonts w:ascii="arial" w:hAnsi="arial"/>
                <w:sz w:val="20"/>
              </w:rPr>
              <w:t>Rest of the world</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539</w:t>
            </w:r>
          </w:p>
        </w:tc>
        <w:tc>
          <w:tcPr>
            <w:tcW w:w="64" w:type="dxa"/>
            <w:tcBorders/>
            <w:shd w:fill="CCEEFF" w:val="clear"/>
            <w:vAlign w:val="bottom"/>
          </w:tcPr>
          <w:p>
            <w:pPr>
              <w:pStyle w:val="TableContents"/>
              <w:bidi w:val="0"/>
              <w:spacing w:before="0" w:after="283"/>
              <w:jc w:val="left"/>
              <w:rPr/>
            </w:pPr>
            <w:r>
              <w:rPr/>
              <w:t> </w:t>
            </w:r>
          </w:p>
        </w:tc>
      </w:tr>
      <w:tr>
        <w:trPr/>
        <w:tc>
          <w:tcPr>
            <w:tcW w:w="778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87"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89" w:type="dxa"/>
            <w:tcBorders/>
          </w:tcPr>
          <w:p>
            <w:pPr>
              <w:pStyle w:val="TableContents"/>
              <w:bidi w:val="0"/>
              <w:spacing w:before="0" w:after="0"/>
              <w:jc w:val="left"/>
              <w:rPr>
                <w:rFonts w:ascii="arial" w:hAnsi="arial"/>
                <w:sz w:val="20"/>
              </w:rPr>
            </w:pPr>
            <w:r>
              <w:rPr>
                <w:rFonts w:ascii="arial" w:hAnsi="arial"/>
                <w:sz w:val="20"/>
              </w:rPr>
              <w:t>Total</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25,142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74,211</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Changes in deferred revenue during the year ended December 31, 2024 and 2025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52"/>
        <w:gridCol w:w="336"/>
        <w:gridCol w:w="140"/>
        <w:gridCol w:w="463"/>
        <w:gridCol w:w="155"/>
        <w:gridCol w:w="297"/>
        <w:gridCol w:w="140"/>
        <w:gridCol w:w="463"/>
        <w:gridCol w:w="159"/>
      </w:tblGrid>
      <w:tr>
        <w:trPr/>
        <w:tc>
          <w:tcPr>
            <w:tcW w:w="8052"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052" w:type="dxa"/>
            <w:tcBorders>
              <w:top w:val="single" w:sz="16" w:space="0" w:color="000000"/>
            </w:tcBorders>
            <w:tcMar>
              <w:top w:w="28" w:type="dxa"/>
            </w:tcMar>
            <w:vAlign w:val="center"/>
          </w:tcPr>
          <w:p>
            <w:pPr>
              <w:pStyle w:val="TableContents"/>
              <w:bidi w:val="0"/>
              <w:spacing w:before="0" w:after="283"/>
              <w:jc w:val="left"/>
              <w:rPr/>
            </w:pPr>
            <w:r>
              <w:rPr/>
              <w:t> </w:t>
            </w:r>
          </w:p>
        </w:tc>
        <w:tc>
          <w:tcPr>
            <w:tcW w:w="215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05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58"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8052" w:type="dxa"/>
            <w:tcBorders>
              <w:bottom w:val="single" w:sz="2" w:space="0" w:color="000000"/>
            </w:tcBorders>
            <w:tcMar>
              <w:bottom w:w="28" w:type="dxa"/>
            </w:tcMar>
            <w:vAlign w:val="bottom"/>
          </w:tcPr>
          <w:p>
            <w:pPr>
              <w:pStyle w:val="TableContents"/>
              <w:bidi w:val="0"/>
              <w:spacing w:before="0" w:after="283"/>
              <w:jc w:val="left"/>
              <w:rPr/>
            </w:pPr>
            <w:r>
              <w:rPr/>
              <w:t>  </w:t>
            </w:r>
          </w:p>
        </w:tc>
        <w:tc>
          <w:tcPr>
            <w:tcW w:w="336" w:type="dxa"/>
            <w:tcBorders>
              <w:bottom w:val="single" w:sz="2" w:space="0" w:color="000000"/>
            </w:tcBorders>
            <w:tcMar>
              <w:bottom w:w="28" w:type="dxa"/>
            </w:tcMar>
            <w:vAlign w:val="bottom"/>
          </w:tcPr>
          <w:p>
            <w:pPr>
              <w:pStyle w:val="TableContents"/>
              <w:bidi w:val="0"/>
              <w:spacing w:before="0" w:after="283"/>
              <w:jc w:val="left"/>
              <w:rPr/>
            </w:pPr>
            <w:r>
              <w:rPr/>
              <w:t>  </w:t>
            </w:r>
          </w:p>
        </w:tc>
        <w:tc>
          <w:tcPr>
            <w:tcW w:w="60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97" w:type="dxa"/>
            <w:tcBorders>
              <w:bottom w:val="single" w:sz="2" w:space="0" w:color="000000"/>
            </w:tcBorders>
            <w:tcMar>
              <w:bottom w:w="28" w:type="dxa"/>
            </w:tcMar>
            <w:vAlign w:val="bottom"/>
          </w:tcPr>
          <w:p>
            <w:pPr>
              <w:pStyle w:val="TableContents"/>
              <w:bidi w:val="0"/>
              <w:spacing w:before="0" w:after="283"/>
              <w:jc w:val="left"/>
              <w:rPr/>
            </w:pPr>
            <w:r>
              <w:rPr/>
              <w:t> </w:t>
            </w:r>
          </w:p>
        </w:tc>
        <w:tc>
          <w:tcPr>
            <w:tcW w:w="60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arial" w:hAnsi="arial"/>
                <w:sz w:val="20"/>
              </w:rPr>
            </w:pPr>
            <w:r>
              <w:rPr>
                <w:rFonts w:ascii="arial" w:hAnsi="arial"/>
                <w:sz w:val="20"/>
              </w:rPr>
              <w:t>Beginning of period</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767</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575</w:t>
            </w:r>
          </w:p>
        </w:tc>
        <w:tc>
          <w:tcPr>
            <w:tcW w:w="159" w:type="dxa"/>
            <w:tcBorders/>
            <w:shd w:fill="CCEEFF" w:val="clear"/>
            <w:vAlign w:val="bottom"/>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arial" w:hAnsi="arial"/>
                <w:sz w:val="20"/>
              </w:rPr>
            </w:pPr>
            <w:r>
              <w:rPr>
                <w:rFonts w:ascii="arial" w:hAnsi="arial"/>
                <w:sz w:val="20"/>
              </w:rPr>
              <w:t>Revenue recognized that was included in the contract liability at the beginning of the year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(767</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(473</w:t>
            </w:r>
          </w:p>
        </w:tc>
        <w:tc>
          <w:tcPr>
            <w:tcW w:w="159" w:type="dxa"/>
            <w:tcBorders/>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arial" w:hAnsi="arial"/>
                <w:sz w:val="20"/>
              </w:rPr>
            </w:pPr>
            <w:r>
              <w:rPr>
                <w:rFonts w:ascii="arial" w:hAnsi="arial"/>
                <w:sz w:val="20"/>
              </w:rPr>
              <w:t>Revenue deferred excluding amounts recognized as revenue during the period</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575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688</w:t>
            </w:r>
          </w:p>
        </w:tc>
        <w:tc>
          <w:tcPr>
            <w:tcW w:w="159" w:type="dxa"/>
            <w:tcBorders/>
            <w:shd w:fill="CCEEFF" w:val="clear"/>
            <w:vAlign w:val="bottom"/>
          </w:tcPr>
          <w:p>
            <w:pPr>
              <w:pStyle w:val="TableContents"/>
              <w:bidi w:val="0"/>
              <w:spacing w:before="0" w:after="283"/>
              <w:jc w:val="left"/>
              <w:rPr/>
            </w:pPr>
            <w:r>
              <w:rPr/>
              <w:t> </w:t>
            </w:r>
          </w:p>
        </w:tc>
      </w:tr>
      <w:tr>
        <w:trPr/>
        <w:tc>
          <w:tcPr>
            <w:tcW w:w="805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18"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arial" w:hAnsi="arial"/>
                <w:sz w:val="20"/>
              </w:rPr>
            </w:pPr>
            <w:r>
              <w:rPr>
                <w:rFonts w:ascii="arial" w:hAnsi="arial"/>
                <w:sz w:val="20"/>
              </w:rPr>
              <w:t>End of period</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575</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790</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December 31, 2025, deferred revenue of $0.5 million is included within accrued and other current liabilities is expected to be recognized to revenue in the next 12 months. The remainder will be recognized thereafter and is included within other noncurrent liabilities. </w:t>
      </w:r>
    </w:p>
    <w:p>
      <w:pPr>
        <w:pStyle w:val="TextBody"/>
        <w:bidi w:val="0"/>
        <w:spacing w:before="320" w:after="0"/>
        <w:jc w:val="left"/>
        <w:rPr>
          <w:rFonts w:ascii="arial" w:hAnsi="arial"/>
          <w:b/>
          <w:sz w:val="24"/>
        </w:rPr>
      </w:pPr>
      <w:r>
        <w:rPr>
          <w:rFonts w:ascii="arial" w:hAnsi="arial"/>
          <w:b/>
          <w:sz w:val="24"/>
        </w:rPr>
        <w:t xml:space="preserve">4. Fair value measurements </w:t>
      </w:r>
    </w:p>
    <w:p>
      <w:pPr>
        <w:pStyle w:val="TextBody"/>
        <w:bidi w:val="0"/>
        <w:spacing w:before="160" w:after="0"/>
        <w:jc w:val="left"/>
        <w:rPr>
          <w:rFonts w:ascii="arial" w:hAnsi="arial"/>
          <w:sz w:val="20"/>
        </w:rPr>
      </w:pPr>
      <w:r>
        <w:rPr>
          <w:rFonts w:ascii="arial" w:hAnsi="arial"/>
          <w:sz w:val="20"/>
        </w:rPr>
        <w:t xml:space="preserve">Carrying amounts of certain of the Company’s financial instruments, including accounts receivable, prepaid expenses and other current assets, accounts payable, and accrued liabilities approximate fair value due to their relatively short maturities.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 a recurring annual basis, the Company measures certain financial assets and liabilities at fair value, including the Company’s cash equivalents. The following table sets forth the Company’s financial assets and liabilities measured at fair value on a recurring basis as of December 31, 2024 based on the three-tier fair value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7"/>
        <w:gridCol w:w="289"/>
        <w:gridCol w:w="140"/>
        <w:gridCol w:w="732"/>
        <w:gridCol w:w="60"/>
        <w:gridCol w:w="289"/>
        <w:gridCol w:w="140"/>
        <w:gridCol w:w="732"/>
        <w:gridCol w:w="60"/>
        <w:gridCol w:w="289"/>
        <w:gridCol w:w="205"/>
        <w:gridCol w:w="577"/>
        <w:gridCol w:w="59"/>
        <w:gridCol w:w="289"/>
        <w:gridCol w:w="140"/>
        <w:gridCol w:w="732"/>
        <w:gridCol w:w="65"/>
      </w:tblGrid>
      <w:tr>
        <w:trPr/>
        <w:tc>
          <w:tcPr>
            <w:tcW w:w="5407"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407" w:type="dxa"/>
            <w:tcBorders>
              <w:top w:val="single" w:sz="16" w:space="0" w:color="000000"/>
            </w:tcBorders>
            <w:tcMar>
              <w:top w:w="28" w:type="dxa"/>
            </w:tcMar>
            <w:vAlign w:val="center"/>
          </w:tcPr>
          <w:p>
            <w:pPr>
              <w:pStyle w:val="TableContents"/>
              <w:bidi w:val="0"/>
              <w:spacing w:before="0" w:after="283"/>
              <w:jc w:val="left"/>
              <w:rPr/>
            </w:pPr>
            <w:r>
              <w:rPr/>
              <w:t> </w:t>
            </w:r>
          </w:p>
        </w:tc>
        <w:tc>
          <w:tcPr>
            <w:tcW w:w="4798"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444" w:type="dxa"/>
            <w:gridSpan w:val="14"/>
            <w:tcBorders>
              <w:bottom w:val="single" w:sz="2" w:space="0" w:color="000000"/>
            </w:tcBorders>
            <w:tcMar>
              <w:bottom w:w="28" w:type="dxa"/>
            </w:tcMar>
            <w:vAlign w:val="bottom"/>
          </w:tcPr>
          <w:p>
            <w:pPr>
              <w:pStyle w:val="TableContents"/>
              <w:bidi w:val="0"/>
              <w:spacing w:before="0" w:after="283"/>
              <w:jc w:val="right"/>
              <w:rPr>
                <w:b/>
              </w:rPr>
            </w:pPr>
            <w:r>
              <w:rPr>
                <w:b/>
              </w:rPr>
              <w:t>Fair Value at December 31, 2024</w:t>
            </w:r>
          </w:p>
        </w:tc>
        <w:tc>
          <w:tcPr>
            <w:tcW w:w="65" w:type="dxa"/>
            <w:tcBorders/>
            <w:vAlign w:val="bottom"/>
          </w:tcPr>
          <w:p>
            <w:pPr>
              <w:pStyle w:val="TableContents"/>
              <w:bidi w:val="0"/>
              <w:spacing w:before="0" w:after="283"/>
              <w:jc w:val="left"/>
              <w:rPr/>
            </w:pPr>
            <w:r>
              <w:rPr/>
              <w:t> </w:t>
            </w:r>
          </w:p>
        </w:tc>
      </w:tr>
      <w:tr>
        <w:trPr/>
        <w:tc>
          <w:tcPr>
            <w:tcW w:w="5407"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782"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407" w:type="dxa"/>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tcPr>
          <w:p>
            <w:pPr>
              <w:pStyle w:val="TableContents"/>
              <w:bidi w:val="0"/>
              <w:spacing w:before="0" w:after="283"/>
              <w:jc w:val="left"/>
              <w:rPr>
                <w:sz w:val="4"/>
                <w:szCs w:val="4"/>
              </w:rPr>
            </w:pPr>
            <w:r>
              <w:rPr>
                <w:sz w:val="4"/>
                <w:szCs w:val="4"/>
              </w:rPr>
            </w:r>
          </w:p>
        </w:tc>
        <w:tc>
          <w:tcPr>
            <w:tcW w:w="577"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tcPr>
          <w:p>
            <w:pPr>
              <w:pStyle w:val="TableContents"/>
              <w:bidi w:val="0"/>
              <w:spacing w:before="0" w:after="283"/>
              <w:jc w:val="left"/>
              <w:rPr>
                <w:sz w:val="4"/>
                <w:szCs w:val="4"/>
              </w:rPr>
            </w:pPr>
            <w:r>
              <w:rPr>
                <w:sz w:val="4"/>
                <w:szCs w:val="4"/>
              </w:rPr>
            </w:r>
          </w:p>
        </w:tc>
      </w:tr>
      <w:tr>
        <w:trPr/>
        <w:tc>
          <w:tcPr>
            <w:tcW w:w="5407" w:type="dxa"/>
            <w:tcBorders/>
          </w:tcPr>
          <w:p>
            <w:pPr>
              <w:pStyle w:val="TableContents"/>
              <w:bidi w:val="0"/>
              <w:spacing w:before="0" w:after="0"/>
              <w:jc w:val="left"/>
              <w:rPr>
                <w:rFonts w:ascii="arial" w:hAnsi="arial"/>
                <w:sz w:val="20"/>
              </w:rPr>
            </w:pPr>
            <w:r>
              <w:rPr>
                <w:rFonts w:ascii="arial" w:hAnsi="arial"/>
                <w:sz w:val="20"/>
              </w:rPr>
              <w:t>Money market funds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14,929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14,929</w:t>
            </w:r>
          </w:p>
        </w:tc>
        <w:tc>
          <w:tcPr>
            <w:tcW w:w="65" w:type="dxa"/>
            <w:tcBorders/>
            <w:vAlign w:val="bottom"/>
          </w:tcPr>
          <w:p>
            <w:pPr>
              <w:pStyle w:val="TableContents"/>
              <w:bidi w:val="0"/>
              <w:spacing w:before="0" w:after="283"/>
              <w:jc w:val="left"/>
              <w:rPr/>
            </w:pPr>
            <w:r>
              <w:rPr/>
              <w:t> </w:t>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2,687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2,687</w:t>
            </w:r>
          </w:p>
        </w:tc>
        <w:tc>
          <w:tcPr>
            <w:tcW w:w="65" w:type="dxa"/>
            <w:tcBorders/>
            <w:shd w:fill="CCEEFF" w:val="clear"/>
            <w:vAlign w:val="bottom"/>
          </w:tcPr>
          <w:p>
            <w:pPr>
              <w:pStyle w:val="TableContents"/>
              <w:bidi w:val="0"/>
              <w:spacing w:before="0" w:after="283"/>
              <w:jc w:val="left"/>
              <w:rPr/>
            </w:pPr>
            <w:r>
              <w:rPr/>
              <w:t> </w:t>
            </w:r>
          </w:p>
        </w:tc>
      </w:tr>
      <w:tr>
        <w:trPr>
          <w:trHeight w:val="75" w:hRule="atLeast"/>
        </w:trPr>
        <w:tc>
          <w:tcPr>
            <w:tcW w:w="5407" w:type="dxa"/>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407" w:type="dxa"/>
            <w:tcBorders/>
          </w:tcPr>
          <w:p>
            <w:pPr>
              <w:pStyle w:val="TableContents"/>
              <w:bidi w:val="0"/>
              <w:spacing w:before="0" w:after="0"/>
              <w:jc w:val="left"/>
              <w:rPr>
                <w:rFonts w:ascii="arial" w:hAnsi="arial"/>
                <w:sz w:val="20"/>
              </w:rPr>
            </w:pPr>
            <w:r>
              <w:rPr>
                <w:rFonts w:ascii="arial" w:hAnsi="arial"/>
                <w:sz w:val="20"/>
              </w:rPr>
              <w:t>Financial assets included within short-term investments:</w:t>
            </w:r>
          </w:p>
        </w:tc>
        <w:tc>
          <w:tcPr>
            <w:tcW w:w="28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left"/>
              <w:rPr>
                <w:sz w:val="4"/>
                <w:szCs w:val="4"/>
              </w:rPr>
            </w:pPr>
            <w:r>
              <w:rPr>
                <w:sz w:val="4"/>
                <w:szCs w:val="4"/>
              </w:rPr>
            </w:r>
          </w:p>
        </w:tc>
        <w:tc>
          <w:tcPr>
            <w:tcW w:w="57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2" w:type="dxa"/>
            <w:tcBorders/>
          </w:tcPr>
          <w:p>
            <w:pPr>
              <w:pStyle w:val="TableContents"/>
              <w:bidi w:val="0"/>
              <w:spacing w:before="0" w:after="283"/>
              <w:jc w:val="left"/>
              <w:rPr>
                <w:sz w:val="4"/>
                <w:szCs w:val="4"/>
              </w:rPr>
            </w:pPr>
            <w:r>
              <w:rPr>
                <w:sz w:val="4"/>
                <w:szCs w:val="4"/>
              </w:rPr>
            </w:r>
          </w:p>
        </w:tc>
        <w:tc>
          <w:tcPr>
            <w:tcW w:w="65" w:type="dxa"/>
            <w:tcBorders/>
          </w:tcPr>
          <w:p>
            <w:pPr>
              <w:pStyle w:val="TableContents"/>
              <w:bidi w:val="0"/>
              <w:spacing w:before="0" w:after="283"/>
              <w:jc w:val="left"/>
              <w:rPr>
                <w:sz w:val="4"/>
                <w:szCs w:val="4"/>
              </w:rPr>
            </w:pPr>
            <w:r>
              <w:rPr>
                <w:sz w:val="4"/>
                <w:szCs w:val="4"/>
              </w:rPr>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52,588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52,588</w:t>
            </w:r>
          </w:p>
        </w:tc>
        <w:tc>
          <w:tcPr>
            <w:tcW w:w="65" w:type="dxa"/>
            <w:tcBorders/>
            <w:shd w:fill="CCEEFF" w:val="clear"/>
            <w:vAlign w:val="bottom"/>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04" w:type="dxa"/>
            <w:gridSpan w:val="13"/>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07" w:type="dxa"/>
            <w:tcBorders/>
          </w:tcPr>
          <w:p>
            <w:pPr>
              <w:pStyle w:val="TableContents"/>
              <w:bidi w:val="0"/>
              <w:spacing w:before="0" w:after="0"/>
              <w:jc w:val="left"/>
              <w:rPr>
                <w:rFonts w:ascii="arial" w:hAnsi="arial"/>
                <w:sz w:val="20"/>
              </w:rPr>
            </w:pPr>
            <w:r>
              <w:rPr>
                <w:rFonts w:ascii="arial" w:hAnsi="arial"/>
                <w:sz w:val="20"/>
              </w:rPr>
              <w:t>Total assets at fair value</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14,929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55,275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70,204</w:t>
            </w:r>
          </w:p>
        </w:tc>
        <w:tc>
          <w:tcPr>
            <w:tcW w:w="65" w:type="dxa"/>
            <w:tcBorders/>
            <w:vAlign w:val="bottom"/>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04" w:type="dxa"/>
            <w:gridSpan w:val="13"/>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75" w:hRule="atLeast"/>
        </w:trPr>
        <w:tc>
          <w:tcPr>
            <w:tcW w:w="5407" w:type="dxa"/>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Financial liabilities: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tcPr>
          <w:p>
            <w:pPr>
              <w:pStyle w:val="TableContents"/>
              <w:bidi w:val="0"/>
              <w:spacing w:before="0" w:after="283"/>
              <w:jc w:val="left"/>
              <w:rPr>
                <w:sz w:val="4"/>
                <w:szCs w:val="4"/>
              </w:rPr>
            </w:pPr>
            <w:r>
              <w:rPr>
                <w:sz w:val="4"/>
                <w:szCs w:val="4"/>
              </w:rPr>
            </w:r>
          </w:p>
        </w:tc>
        <w:tc>
          <w:tcPr>
            <w:tcW w:w="577"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tcPr>
          <w:p>
            <w:pPr>
              <w:pStyle w:val="TableContents"/>
              <w:bidi w:val="0"/>
              <w:spacing w:before="0" w:after="283"/>
              <w:jc w:val="left"/>
              <w:rPr>
                <w:sz w:val="4"/>
                <w:szCs w:val="4"/>
              </w:rPr>
            </w:pPr>
            <w:r>
              <w:rPr>
                <w:sz w:val="4"/>
                <w:szCs w:val="4"/>
              </w:rPr>
            </w:r>
          </w:p>
        </w:tc>
      </w:tr>
      <w:tr>
        <w:trPr/>
        <w:tc>
          <w:tcPr>
            <w:tcW w:w="5407" w:type="dxa"/>
            <w:tcBorders/>
          </w:tcPr>
          <w:p>
            <w:pPr>
              <w:pStyle w:val="TableContents"/>
              <w:bidi w:val="0"/>
              <w:spacing w:before="0" w:after="0"/>
              <w:jc w:val="left"/>
              <w:rPr>
                <w:rFonts w:ascii="arial" w:hAnsi="arial"/>
                <w:sz w:val="20"/>
              </w:rPr>
            </w:pPr>
            <w:r>
              <w:rPr>
                <w:rFonts w:ascii="arial" w:hAnsi="arial"/>
                <w:sz w:val="20"/>
              </w:rPr>
              <w:t>Warrant liabilities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145</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145</w:t>
            </w:r>
          </w:p>
        </w:tc>
        <w:tc>
          <w:tcPr>
            <w:tcW w:w="65" w:type="dxa"/>
            <w:tcBorders/>
            <w:vAlign w:val="bottom"/>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04" w:type="dxa"/>
            <w:gridSpan w:val="13"/>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Total liabilities at fair value</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145</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145</w:t>
            </w:r>
          </w:p>
        </w:tc>
        <w:tc>
          <w:tcPr>
            <w:tcW w:w="65" w:type="dxa"/>
            <w:tcBorders/>
            <w:shd w:fill="CCEEFF" w:val="clear"/>
            <w:vAlign w:val="bottom"/>
          </w:tcPr>
          <w:p>
            <w:pPr>
              <w:pStyle w:val="TableContents"/>
              <w:bidi w:val="0"/>
              <w:spacing w:before="0" w:after="283"/>
              <w:jc w:val="left"/>
              <w:rPr/>
            </w:pPr>
            <w:r>
              <w:rPr/>
              <w:t> </w:t>
            </w:r>
          </w:p>
        </w:tc>
      </w:tr>
      <w:tr>
        <w:trPr/>
        <w:tc>
          <w:tcPr>
            <w:tcW w:w="10140" w:type="dxa"/>
            <w:gridSpan w:val="16"/>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sets forth the Company’s financial assets and liabilities measured at fair value on a recurring basis as of December 31, 2025 based on the three-tier fair value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3"/>
        <w:gridCol w:w="356"/>
        <w:gridCol w:w="140"/>
        <w:gridCol w:w="721"/>
        <w:gridCol w:w="60"/>
        <w:gridCol w:w="356"/>
        <w:gridCol w:w="269"/>
        <w:gridCol w:w="510"/>
        <w:gridCol w:w="60"/>
        <w:gridCol w:w="356"/>
        <w:gridCol w:w="203"/>
        <w:gridCol w:w="557"/>
        <w:gridCol w:w="60"/>
        <w:gridCol w:w="356"/>
        <w:gridCol w:w="140"/>
        <w:gridCol w:w="721"/>
        <w:gridCol w:w="67"/>
      </w:tblGrid>
      <w:tr>
        <w:trPr/>
        <w:tc>
          <w:tcPr>
            <w:tcW w:w="5273"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273" w:type="dxa"/>
            <w:tcBorders>
              <w:top w:val="single" w:sz="16" w:space="0" w:color="000000"/>
            </w:tcBorders>
            <w:tcMar>
              <w:top w:w="28" w:type="dxa"/>
            </w:tcMar>
            <w:vAlign w:val="center"/>
          </w:tcPr>
          <w:p>
            <w:pPr>
              <w:pStyle w:val="TableContents"/>
              <w:bidi w:val="0"/>
              <w:spacing w:before="0" w:after="283"/>
              <w:jc w:val="left"/>
              <w:rPr/>
            </w:pPr>
            <w:r>
              <w:rPr/>
              <w:t> </w:t>
            </w:r>
          </w:p>
        </w:tc>
        <w:tc>
          <w:tcPr>
            <w:tcW w:w="4932"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4509" w:type="dxa"/>
            <w:gridSpan w:val="14"/>
            <w:tcBorders>
              <w:bottom w:val="single" w:sz="2" w:space="0" w:color="000000"/>
            </w:tcBorders>
            <w:tcMar>
              <w:bottom w:w="28" w:type="dxa"/>
            </w:tcMar>
            <w:vAlign w:val="bottom"/>
          </w:tcPr>
          <w:p>
            <w:pPr>
              <w:pStyle w:val="TableContents"/>
              <w:bidi w:val="0"/>
              <w:spacing w:before="0" w:after="283"/>
              <w:jc w:val="right"/>
              <w:rPr>
                <w:b/>
              </w:rPr>
            </w:pPr>
            <w:r>
              <w:rPr>
                <w:b/>
              </w:rPr>
              <w:t>Fair Value at December 31, 2025</w:t>
            </w:r>
          </w:p>
        </w:tc>
        <w:tc>
          <w:tcPr>
            <w:tcW w:w="67" w:type="dxa"/>
            <w:tcBorders/>
            <w:vAlign w:val="bottom"/>
          </w:tcPr>
          <w:p>
            <w:pPr>
              <w:pStyle w:val="TableContents"/>
              <w:bidi w:val="0"/>
              <w:spacing w:before="0" w:after="283"/>
              <w:jc w:val="left"/>
              <w:rPr/>
            </w:pPr>
            <w:r>
              <w:rPr/>
              <w:t> </w:t>
            </w:r>
          </w:p>
        </w:tc>
      </w:tr>
      <w:tr>
        <w:trPr/>
        <w:tc>
          <w:tcPr>
            <w:tcW w:w="52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86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7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7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861"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273"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tcPr>
          <w:p>
            <w:pPr>
              <w:pStyle w:val="TableContents"/>
              <w:bidi w:val="0"/>
              <w:spacing w:before="0" w:after="283"/>
              <w:jc w:val="left"/>
              <w:rPr>
                <w:sz w:val="4"/>
                <w:szCs w:val="4"/>
              </w:rPr>
            </w:pPr>
            <w:r>
              <w:rPr>
                <w:sz w:val="4"/>
                <w:szCs w:val="4"/>
              </w:rPr>
            </w:r>
          </w:p>
        </w:tc>
        <w:tc>
          <w:tcPr>
            <w:tcW w:w="5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tcPr>
          <w:p>
            <w:pPr>
              <w:pStyle w:val="TableContents"/>
              <w:bidi w:val="0"/>
              <w:spacing w:before="0" w:after="283"/>
              <w:jc w:val="left"/>
              <w:rPr>
                <w:sz w:val="4"/>
                <w:szCs w:val="4"/>
              </w:rPr>
            </w:pPr>
            <w:r>
              <w:rPr>
                <w:sz w:val="4"/>
                <w:szCs w:val="4"/>
              </w:rPr>
            </w:r>
          </w:p>
        </w:tc>
        <w:tc>
          <w:tcPr>
            <w:tcW w:w="55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1"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5273" w:type="dxa"/>
            <w:tcBorders/>
          </w:tcPr>
          <w:p>
            <w:pPr>
              <w:pStyle w:val="TableContents"/>
              <w:bidi w:val="0"/>
              <w:spacing w:before="0" w:after="0"/>
              <w:jc w:val="left"/>
              <w:rPr>
                <w:rFonts w:ascii="arial" w:hAnsi="arial"/>
                <w:sz w:val="20"/>
              </w:rPr>
            </w:pPr>
            <w:r>
              <w:rPr>
                <w:rFonts w:ascii="arial" w:hAnsi="arial"/>
                <w:sz w:val="20"/>
              </w:rPr>
              <w:t>Money market funds</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19,665</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5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19,665</w:t>
            </w:r>
          </w:p>
        </w:tc>
        <w:tc>
          <w:tcPr>
            <w:tcW w:w="67"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9" w:type="dxa"/>
            <w:gridSpan w:val="13"/>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Total assets at fair value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19,665</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5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19,665</w:t>
            </w:r>
          </w:p>
        </w:tc>
        <w:tc>
          <w:tcPr>
            <w:tcW w:w="67" w:type="dxa"/>
            <w:tcBorders/>
            <w:shd w:fill="CCEEFF" w:val="clear"/>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9" w:type="dxa"/>
            <w:gridSpan w:val="13"/>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75" w:hRule="atLeast"/>
        </w:trPr>
        <w:tc>
          <w:tcPr>
            <w:tcW w:w="5273"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r>
      <w:tr>
        <w:trPr/>
        <w:tc>
          <w:tcPr>
            <w:tcW w:w="5273" w:type="dxa"/>
            <w:tcBorders/>
          </w:tcPr>
          <w:p>
            <w:pPr>
              <w:pStyle w:val="TableContents"/>
              <w:bidi w:val="0"/>
              <w:spacing w:before="0" w:after="0"/>
              <w:jc w:val="left"/>
              <w:rPr>
                <w:rFonts w:ascii="arial" w:hAnsi="arial"/>
                <w:sz w:val="20"/>
              </w:rPr>
            </w:pPr>
            <w:r>
              <w:rPr>
                <w:rFonts w:ascii="arial" w:hAnsi="arial"/>
                <w:sz w:val="20"/>
              </w:rPr>
              <w:t>Financial liabilities:</w:t>
            </w:r>
          </w:p>
        </w:tc>
        <w:tc>
          <w:tcPr>
            <w:tcW w:w="35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2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left"/>
              <w:rPr>
                <w:sz w:val="4"/>
                <w:szCs w:val="4"/>
              </w:rPr>
            </w:pPr>
            <w:r>
              <w:rPr>
                <w:sz w:val="4"/>
                <w:szCs w:val="4"/>
              </w:rPr>
            </w:r>
          </w:p>
        </w:tc>
        <w:tc>
          <w:tcPr>
            <w:tcW w:w="51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c>
          <w:tcPr>
            <w:tcW w:w="55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21"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Warrant liabilities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5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7"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247</w:t>
            </w:r>
          </w:p>
        </w:tc>
        <w:tc>
          <w:tcPr>
            <w:tcW w:w="67"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arial" w:hAnsi="arial"/>
                <w:sz w:val="20"/>
              </w:rPr>
            </w:pPr>
            <w:r>
              <w:rPr>
                <w:rFonts w:ascii="arial" w:hAnsi="arial"/>
                <w:sz w:val="20"/>
              </w:rPr>
              <w:t>Phantom stock options</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8</w:t>
            </w:r>
          </w:p>
        </w:tc>
        <w:tc>
          <w:tcPr>
            <w:tcW w:w="67"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9" w:type="dxa"/>
            <w:gridSpan w:val="13"/>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Total liabilities at fair value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5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7"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255</w:t>
            </w:r>
          </w:p>
        </w:tc>
        <w:tc>
          <w:tcPr>
            <w:tcW w:w="67" w:type="dxa"/>
            <w:tcBorders/>
            <w:shd w:fill="CCEEFF" w:val="clear"/>
            <w:vAlign w:val="bottom"/>
          </w:tcPr>
          <w:p>
            <w:pPr>
              <w:pStyle w:val="TableContents"/>
              <w:bidi w:val="0"/>
              <w:spacing w:before="0" w:after="283"/>
              <w:jc w:val="left"/>
              <w:rPr/>
            </w:pPr>
            <w:r>
              <w:rPr/>
              <w:t> </w:t>
            </w:r>
          </w:p>
        </w:tc>
      </w:tr>
      <w:tr>
        <w:trPr/>
        <w:tc>
          <w:tcPr>
            <w:tcW w:w="10138" w:type="dxa"/>
            <w:gridSpan w:val="16"/>
            <w:tcBorders/>
          </w:tcPr>
          <w:p>
            <w:pPr>
              <w:pStyle w:val="TableContents"/>
              <w:pBdr>
                <w:bottom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Investment in Attovia </w:t>
      </w:r>
    </w:p>
    <w:p>
      <w:pPr>
        <w:pStyle w:val="TextBody"/>
        <w:bidi w:val="0"/>
        <w:spacing w:before="160" w:after="0"/>
        <w:jc w:val="left"/>
        <w:rPr>
          <w:rFonts w:ascii="arial" w:hAnsi="arial"/>
          <w:sz w:val="20"/>
        </w:rPr>
      </w:pPr>
      <w:r>
        <w:rPr>
          <w:rFonts w:ascii="arial" w:hAnsi="arial"/>
          <w:sz w:val="20"/>
        </w:rPr>
        <w:t xml:space="preserve">As disclosed in Note 14—Investment in Attovia and Related Party Transactions, the Company accounted for its investment in Attovia at fair value. Prior to distributing its interest to stockholders on February 21, 2024, the investment was revalued using an option pricing model based on recent transactions in Attovia’s Series A-2 preferred stock which closed in 2024 prior to the distribution. Significant unobservable inputs included an assumed volatility of 118% and an expected term of 2.3 years. There was no change in the fair value of the investment from January 2024 to the distribution date of February 21,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table provides a summary of the changes in the fair value of the Company’s investment in Attovia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1"/>
        <w:gridCol w:w="504"/>
        <w:gridCol w:w="211"/>
        <w:gridCol w:w="1161"/>
        <w:gridCol w:w="158"/>
      </w:tblGrid>
      <w:tr>
        <w:trPr/>
        <w:tc>
          <w:tcPr>
            <w:tcW w:w="8171"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71" w:type="dxa"/>
            <w:tcBorders>
              <w:top w:val="single" w:sz="16" w:space="0" w:color="000000"/>
            </w:tcBorders>
            <w:tcMar>
              <w:top w:w="28" w:type="dxa"/>
            </w:tcMar>
            <w:vAlign w:val="center"/>
          </w:tcPr>
          <w:p>
            <w:pPr>
              <w:pStyle w:val="TableContents"/>
              <w:bidi w:val="0"/>
              <w:spacing w:before="0" w:after="283"/>
              <w:jc w:val="left"/>
              <w:rPr/>
            </w:pPr>
            <w:r>
              <w:rPr/>
              <w:t> </w:t>
            </w:r>
          </w:p>
        </w:tc>
        <w:tc>
          <w:tcPr>
            <w:tcW w:w="203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71"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3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8171" w:type="dxa"/>
            <w:tcBorders>
              <w:bottom w:val="single" w:sz="2" w:space="0" w:color="000000"/>
            </w:tcBorders>
            <w:tcMar>
              <w:bottom w:w="28" w:type="dxa"/>
            </w:tcMar>
            <w:vAlign w:val="bottom"/>
          </w:tcPr>
          <w:p>
            <w:pPr>
              <w:pStyle w:val="TableContents"/>
              <w:bidi w:val="0"/>
              <w:spacing w:before="0" w:after="283"/>
              <w:jc w:val="left"/>
              <w:rPr/>
            </w:pPr>
            <w:r>
              <w:rPr/>
              <w:t>  </w:t>
            </w:r>
          </w:p>
        </w:tc>
        <w:tc>
          <w:tcPr>
            <w:tcW w:w="504" w:type="dxa"/>
            <w:tcBorders>
              <w:bottom w:val="single" w:sz="2" w:space="0" w:color="000000"/>
            </w:tcBorders>
            <w:tcMar>
              <w:bottom w:w="28" w:type="dxa"/>
            </w:tcMar>
            <w:vAlign w:val="bottom"/>
          </w:tcPr>
          <w:p>
            <w:pPr>
              <w:pStyle w:val="TableContents"/>
              <w:bidi w:val="0"/>
              <w:spacing w:before="0" w:after="283"/>
              <w:jc w:val="left"/>
              <w:rPr/>
            </w:pPr>
            <w:r>
              <w:rPr/>
              <w:t>  </w:t>
            </w:r>
          </w:p>
        </w:tc>
        <w:tc>
          <w:tcPr>
            <w:tcW w:w="13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71" w:type="dxa"/>
            <w:tcBorders/>
            <w:shd w:fill="CCEEFF" w:val="clear"/>
          </w:tcPr>
          <w:p>
            <w:pPr>
              <w:pStyle w:val="TableContents"/>
              <w:bidi w:val="0"/>
              <w:spacing w:before="0" w:after="0"/>
              <w:jc w:val="left"/>
              <w:rPr>
                <w:rFonts w:ascii="arial" w:hAnsi="arial"/>
                <w:sz w:val="20"/>
              </w:rPr>
            </w:pPr>
            <w:r>
              <w:rPr>
                <w:rFonts w:ascii="arial" w:hAnsi="arial"/>
                <w:sz w:val="20"/>
              </w:rPr>
              <w:t>Balance at beginning of year</w:t>
            </w:r>
          </w:p>
        </w:tc>
        <w:tc>
          <w:tcPr>
            <w:tcW w:w="50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12,480</w:t>
            </w:r>
          </w:p>
        </w:tc>
        <w:tc>
          <w:tcPr>
            <w:tcW w:w="158" w:type="dxa"/>
            <w:tcBorders/>
            <w:shd w:fill="CCEEFF" w:val="clear"/>
            <w:vAlign w:val="bottom"/>
          </w:tcPr>
          <w:p>
            <w:pPr>
              <w:pStyle w:val="TableContents"/>
              <w:bidi w:val="0"/>
              <w:spacing w:before="0" w:after="283"/>
              <w:jc w:val="left"/>
              <w:rPr/>
            </w:pPr>
            <w:r>
              <w:rPr/>
              <w:t> </w:t>
            </w:r>
          </w:p>
        </w:tc>
      </w:tr>
      <w:tr>
        <w:trPr/>
        <w:tc>
          <w:tcPr>
            <w:tcW w:w="8171" w:type="dxa"/>
            <w:tcBorders/>
          </w:tcPr>
          <w:p>
            <w:pPr>
              <w:pStyle w:val="TableContents"/>
              <w:bidi w:val="0"/>
              <w:spacing w:before="0" w:after="0"/>
              <w:jc w:val="left"/>
              <w:rPr>
                <w:rFonts w:ascii="arial" w:hAnsi="arial"/>
                <w:sz w:val="20"/>
              </w:rPr>
            </w:pPr>
            <w:r>
              <w:rPr>
                <w:rFonts w:ascii="arial" w:hAnsi="arial"/>
                <w:sz w:val="20"/>
              </w:rPr>
              <w:t>Distribution of investment in Attovia</w:t>
            </w:r>
          </w:p>
        </w:tc>
        <w:tc>
          <w:tcPr>
            <w:tcW w:w="50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(12,480</w:t>
            </w:r>
          </w:p>
        </w:tc>
        <w:tc>
          <w:tcPr>
            <w:tcW w:w="158" w:type="dxa"/>
            <w:tcBorders/>
            <w:vAlign w:val="bottom"/>
          </w:tcPr>
          <w:p>
            <w:pPr>
              <w:pStyle w:val="TableContents"/>
              <w:bidi w:val="0"/>
              <w:spacing w:before="0" w:after="283"/>
              <w:jc w:val="left"/>
              <w:rPr/>
            </w:pPr>
            <w:r>
              <w:rPr/>
              <w:t>) </w:t>
            </w:r>
          </w:p>
        </w:tc>
      </w:tr>
      <w:tr>
        <w:trPr/>
        <w:tc>
          <w:tcPr>
            <w:tcW w:w="8171"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71" w:type="dxa"/>
            <w:tcBorders/>
            <w:shd w:fill="CCEEFF" w:val="clear"/>
          </w:tcPr>
          <w:p>
            <w:pPr>
              <w:pStyle w:val="TableContents"/>
              <w:bidi w:val="0"/>
              <w:spacing w:before="0" w:after="0"/>
              <w:jc w:val="left"/>
              <w:rPr>
                <w:rFonts w:ascii="arial" w:hAnsi="arial"/>
                <w:sz w:val="20"/>
              </w:rPr>
            </w:pPr>
            <w:r>
              <w:rPr>
                <w:rFonts w:ascii="arial" w:hAnsi="arial"/>
                <w:sz w:val="20"/>
              </w:rPr>
              <w:t>Balance at end of year</w:t>
            </w:r>
          </w:p>
        </w:tc>
        <w:tc>
          <w:tcPr>
            <w:tcW w:w="50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10047" w:type="dxa"/>
            <w:gridSpan w:val="4"/>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Warrant liabilities </w:t>
      </w:r>
    </w:p>
    <w:p>
      <w:pPr>
        <w:pStyle w:val="TextBody"/>
        <w:bidi w:val="0"/>
        <w:spacing w:before="160" w:after="0"/>
        <w:jc w:val="left"/>
        <w:rPr>
          <w:rFonts w:ascii="arial" w:hAnsi="arial"/>
          <w:sz w:val="20"/>
        </w:rPr>
      </w:pPr>
      <w:r>
        <w:rPr>
          <w:rFonts w:ascii="arial" w:hAnsi="arial"/>
          <w:sz w:val="20"/>
        </w:rPr>
        <w:t xml:space="preserve">The Company issued warrants to purchase shares of its convertible preferred stock, which did not meet the criteria for equity classification and are therefore classified as a liability. The estimated fair value of the convertible preferred stock warrant liability as of December 31, 2024 and 2025 was determined based on significant inputs not observable in the market, which represents a Level 3 measurement within the fair value hierarchy. </w:t>
      </w:r>
    </w:p>
    <w:p>
      <w:pPr>
        <w:pStyle w:val="TextBody"/>
        <w:bidi w:val="0"/>
        <w:spacing w:before="160" w:after="0"/>
        <w:jc w:val="left"/>
        <w:rPr>
          <w:rFonts w:ascii="arial" w:hAnsi="arial"/>
          <w:sz w:val="20"/>
        </w:rPr>
      </w:pPr>
      <w:r>
        <w:rPr>
          <w:rFonts w:ascii="arial" w:hAnsi="arial"/>
          <w:sz w:val="20"/>
        </w:rPr>
        <w:t xml:space="preserve">The Company noted no material changes in the fair value of the Company’s warrant liabilities in 2024 and 2025. </w:t>
      </w:r>
    </w:p>
    <w:p>
      <w:pPr>
        <w:pStyle w:val="TextBody"/>
        <w:bidi w:val="0"/>
        <w:spacing w:before="320" w:after="0"/>
        <w:jc w:val="left"/>
        <w:rPr>
          <w:rFonts w:ascii="arial" w:hAnsi="arial"/>
          <w:b/>
          <w:sz w:val="24"/>
        </w:rPr>
      </w:pPr>
      <w:r>
        <w:rPr>
          <w:rFonts w:ascii="arial" w:hAnsi="arial"/>
          <w:b/>
          <w:sz w:val="24"/>
        </w:rPr>
        <w:t xml:space="preserve">5. Cash equivalents and marketable securities </w:t>
      </w:r>
    </w:p>
    <w:p>
      <w:pPr>
        <w:pStyle w:val="TextBody"/>
        <w:bidi w:val="0"/>
        <w:spacing w:before="160" w:after="0"/>
        <w:jc w:val="left"/>
        <w:rPr>
          <w:rFonts w:ascii="arial" w:hAnsi="arial"/>
          <w:sz w:val="20"/>
        </w:rPr>
      </w:pPr>
      <w:r>
        <w:rPr>
          <w:rFonts w:ascii="arial" w:hAnsi="arial"/>
          <w:sz w:val="20"/>
        </w:rPr>
        <w:t xml:space="preserve">The following table summarizes the amortized cost and fair value of the Company’s cash equivalents and marketable securities by major investment category as of December 31, 2024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7"/>
        <w:gridCol w:w="361"/>
        <w:gridCol w:w="187"/>
        <w:gridCol w:w="984"/>
        <w:gridCol w:w="60"/>
        <w:gridCol w:w="361"/>
        <w:gridCol w:w="305"/>
        <w:gridCol w:w="849"/>
        <w:gridCol w:w="60"/>
        <w:gridCol w:w="361"/>
        <w:gridCol w:w="140"/>
        <w:gridCol w:w="734"/>
        <w:gridCol w:w="66"/>
      </w:tblGrid>
      <w:tr>
        <w:trPr/>
        <w:tc>
          <w:tcPr>
            <w:tcW w:w="573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737" w:type="dxa"/>
            <w:tcBorders>
              <w:top w:val="single" w:sz="16" w:space="0" w:color="000000"/>
            </w:tcBorders>
            <w:tcMar>
              <w:top w:w="28" w:type="dxa"/>
            </w:tcMar>
            <w:vAlign w:val="center"/>
          </w:tcPr>
          <w:p>
            <w:pPr>
              <w:pStyle w:val="TableContents"/>
              <w:bidi w:val="0"/>
              <w:spacing w:before="0" w:after="283"/>
              <w:jc w:val="left"/>
              <w:rPr/>
            </w:pPr>
            <w:r>
              <w:rPr/>
              <w:t> </w:t>
            </w:r>
          </w:p>
        </w:tc>
        <w:tc>
          <w:tcPr>
            <w:tcW w:w="4468"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73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4041" w:type="dxa"/>
            <w:gridSpan w:val="10"/>
            <w:tcBorders>
              <w:bottom w:val="single" w:sz="2" w:space="0" w:color="000000"/>
            </w:tcBorders>
            <w:tcMar>
              <w:bottom w:w="28" w:type="dxa"/>
            </w:tcMar>
            <w:vAlign w:val="bottom"/>
          </w:tcPr>
          <w:p>
            <w:pPr>
              <w:pStyle w:val="TableContents"/>
              <w:bidi w:val="0"/>
              <w:spacing w:before="0" w:after="283"/>
              <w:jc w:val="right"/>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5737" w:type="dxa"/>
            <w:vMerge w:val="continue"/>
            <w:tcBorders>
              <w:bottom w:val="single" w:sz="2" w:space="0" w:color="000000"/>
            </w:tcBorders>
            <w:tcMar>
              <w:bottom w:w="28" w:type="dxa"/>
            </w:tcMar>
            <w:vAlign w:val="bottom"/>
          </w:tcPr>
          <w:p>
            <w:pPr>
              <w:pStyle w:val="Normal"/>
              <w:bidi w:val="0"/>
              <w:jc w:val="left"/>
              <w:rPr/>
            </w:pPr>
            <w:r>
              <w:rPr/>
            </w:r>
          </w:p>
        </w:tc>
        <w:tc>
          <w:tcPr>
            <w:tcW w:w="361" w:type="dxa"/>
            <w:tcBorders>
              <w:bottom w:val="single" w:sz="2" w:space="0" w:color="000000"/>
            </w:tcBorders>
            <w:tcMar>
              <w:bottom w:w="28" w:type="dxa"/>
            </w:tcMar>
            <w:vAlign w:val="bottom"/>
          </w:tcPr>
          <w:p>
            <w:pPr>
              <w:pStyle w:val="TableContents"/>
              <w:bidi w:val="0"/>
              <w:spacing w:before="0" w:after="283"/>
              <w:jc w:val="left"/>
              <w:rPr/>
            </w:pPr>
            <w:r>
              <w:rPr/>
              <w:t>  </w:t>
            </w:r>
          </w:p>
        </w:tc>
        <w:tc>
          <w:tcPr>
            <w:tcW w:w="1171"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Amortized</w:t>
              <w:br/>
              <w:t>cost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 w:type="dxa"/>
            <w:tcBorders>
              <w:bottom w:val="single" w:sz="2" w:space="0" w:color="000000"/>
            </w:tcBorders>
            <w:tcMar>
              <w:bottom w:w="28" w:type="dxa"/>
            </w:tcMar>
            <w:vAlign w:val="bottom"/>
          </w:tcPr>
          <w:p>
            <w:pPr>
              <w:pStyle w:val="TableContents"/>
              <w:bidi w:val="0"/>
              <w:spacing w:before="0" w:after="283"/>
              <w:jc w:val="left"/>
              <w:rPr/>
            </w:pPr>
            <w:r>
              <w:rPr/>
              <w:t>  </w:t>
            </w:r>
          </w:p>
        </w:tc>
        <w:tc>
          <w:tcPr>
            <w:tcW w:w="1154" w:type="dxa"/>
            <w:gridSpan w:val="2"/>
            <w:tcBorders>
              <w:bottom w:val="single" w:sz="2" w:space="0" w:color="000000"/>
            </w:tcBorders>
            <w:tcMar>
              <w:bottom w:w="28" w:type="dxa"/>
            </w:tcMar>
            <w:vAlign w:val="bottom"/>
          </w:tcPr>
          <w:p>
            <w:pPr>
              <w:pStyle w:val="TableContents"/>
              <w:bidi w:val="0"/>
              <w:spacing w:before="0" w:after="283"/>
              <w:jc w:val="right"/>
              <w:rPr>
                <w:b/>
              </w:rPr>
            </w:pPr>
            <w:r>
              <w:rPr>
                <w:b/>
              </w:rPr>
              <w:t>Unrealized</w:t>
              <w:br/>
              <w:t>gains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 w:type="dxa"/>
            <w:tcBorders>
              <w:bottom w:val="single" w:sz="2" w:space="0" w:color="000000"/>
            </w:tcBorders>
            <w:tcMar>
              <w:bottom w:w="28" w:type="dxa"/>
            </w:tcMar>
            <w:vAlign w:val="bottom"/>
          </w:tcPr>
          <w:p>
            <w:pPr>
              <w:pStyle w:val="TableContents"/>
              <w:bidi w:val="0"/>
              <w:spacing w:before="0" w:after="283"/>
              <w:jc w:val="left"/>
              <w:rPr/>
            </w:pPr>
            <w:r>
              <w:rPr/>
              <w:t>  </w:t>
            </w:r>
          </w:p>
        </w:tc>
        <w:tc>
          <w:tcPr>
            <w:tcW w:w="874" w:type="dxa"/>
            <w:gridSpan w:val="2"/>
            <w:tcBorders>
              <w:bottom w:val="single" w:sz="2" w:space="0" w:color="000000"/>
            </w:tcBorders>
            <w:tcMar>
              <w:bottom w:w="28" w:type="dxa"/>
            </w:tcMar>
            <w:vAlign w:val="bottom"/>
          </w:tcPr>
          <w:p>
            <w:pPr>
              <w:pStyle w:val="TableContents"/>
              <w:bidi w:val="0"/>
              <w:spacing w:before="0" w:after="283"/>
              <w:jc w:val="right"/>
              <w:rPr>
                <w:b/>
              </w:rPr>
            </w:pPr>
            <w:r>
              <w:rPr>
                <w:b/>
              </w:rPr>
              <w:t>Fair</w:t>
              <w:br/>
              <w:t>value</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361"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98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pPr>
            <w:r>
              <w:rPr/>
              <w:t>  </w:t>
            </w:r>
          </w:p>
        </w:tc>
        <w:tc>
          <w:tcPr>
            <w:tcW w:w="305" w:type="dxa"/>
            <w:tcBorders/>
            <w:shd w:fill="CCEEFF" w:val="clear"/>
          </w:tcPr>
          <w:p>
            <w:pPr>
              <w:pStyle w:val="TableContents"/>
              <w:bidi w:val="0"/>
              <w:spacing w:before="0" w:after="283"/>
              <w:jc w:val="left"/>
              <w:rPr>
                <w:sz w:val="4"/>
                <w:szCs w:val="4"/>
              </w:rPr>
            </w:pPr>
            <w:r>
              <w:rPr>
                <w:sz w:val="4"/>
                <w:szCs w:val="4"/>
              </w:rPr>
            </w:r>
          </w:p>
        </w:tc>
        <w:tc>
          <w:tcPr>
            <w:tcW w:w="849"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4"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tcPr>
          <w:p>
            <w:pPr>
              <w:pStyle w:val="TableContents"/>
              <w:bidi w:val="0"/>
              <w:spacing w:before="0" w:after="283"/>
              <w:jc w:val="left"/>
              <w:rPr>
                <w:sz w:val="4"/>
                <w:szCs w:val="4"/>
              </w:rPr>
            </w:pPr>
            <w:r>
              <w:rPr>
                <w:sz w:val="4"/>
                <w:szCs w:val="4"/>
              </w:rPr>
            </w:r>
          </w:p>
        </w:tc>
      </w:tr>
      <w:tr>
        <w:trPr/>
        <w:tc>
          <w:tcPr>
            <w:tcW w:w="5737" w:type="dxa"/>
            <w:tcBorders/>
          </w:tcPr>
          <w:p>
            <w:pPr>
              <w:pStyle w:val="TableContents"/>
              <w:bidi w:val="0"/>
              <w:spacing w:before="0" w:after="0"/>
              <w:jc w:val="left"/>
              <w:rPr>
                <w:rFonts w:ascii="arial" w:hAnsi="arial"/>
                <w:sz w:val="20"/>
              </w:rPr>
            </w:pPr>
            <w:r>
              <w:rPr>
                <w:rFonts w:ascii="arial" w:hAnsi="arial"/>
                <w:sz w:val="20"/>
              </w:rPr>
              <w:t>Money market funds</w:t>
            </w:r>
          </w:p>
        </w:tc>
        <w:tc>
          <w:tcPr>
            <w:tcW w:w="36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14,929</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14,929</w:t>
            </w:r>
          </w:p>
        </w:tc>
        <w:tc>
          <w:tcPr>
            <w:tcW w:w="66" w:type="dxa"/>
            <w:tcBorders/>
            <w:vAlign w:val="bottom"/>
          </w:tcPr>
          <w:p>
            <w:pPr>
              <w:pStyle w:val="TableContents"/>
              <w:bidi w:val="0"/>
              <w:spacing w:before="0" w:after="283"/>
              <w:jc w:val="left"/>
              <w:rPr/>
            </w:pPr>
            <w:r>
              <w:rPr/>
              <w:t> </w:t>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3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2,686</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2,687</w:t>
            </w:r>
          </w:p>
        </w:tc>
        <w:tc>
          <w:tcPr>
            <w:tcW w:w="66" w:type="dxa"/>
            <w:tcBorders/>
            <w:shd w:fill="CCEEFF" w:val="clear"/>
            <w:vAlign w:val="bottom"/>
          </w:tcPr>
          <w:p>
            <w:pPr>
              <w:pStyle w:val="TableContents"/>
              <w:bidi w:val="0"/>
              <w:spacing w:before="0" w:after="283"/>
              <w:jc w:val="left"/>
              <w:rPr/>
            </w:pPr>
            <w:r>
              <w:rPr/>
              <w:t> </w:t>
            </w:r>
          </w:p>
        </w:tc>
      </w:tr>
      <w:tr>
        <w:trPr/>
        <w:tc>
          <w:tcPr>
            <w:tcW w:w="5737" w:type="dxa"/>
            <w:tcBorders/>
          </w:tcPr>
          <w:p>
            <w:pPr>
              <w:pStyle w:val="TableContents"/>
              <w:bidi w:val="0"/>
              <w:spacing w:before="0" w:after="0"/>
              <w:jc w:val="left"/>
              <w:rPr>
                <w:rFonts w:ascii="arial" w:hAnsi="arial"/>
                <w:sz w:val="20"/>
              </w:rPr>
            </w:pPr>
            <w:r>
              <w:rPr>
                <w:rFonts w:ascii="arial" w:hAnsi="arial"/>
                <w:sz w:val="20"/>
              </w:rPr>
              <w:t>Financial assets included within short-term investments:</w:t>
            </w:r>
          </w:p>
        </w:tc>
        <w:tc>
          <w:tcPr>
            <w:tcW w:w="361" w:type="dxa"/>
            <w:tcBorders/>
            <w:vAlign w:val="bottom"/>
          </w:tcPr>
          <w:p>
            <w:pPr>
              <w:pStyle w:val="TableContents"/>
              <w:bidi w:val="0"/>
              <w:spacing w:before="0" w:after="283"/>
              <w:jc w:val="left"/>
              <w:rPr/>
            </w:pPr>
            <w:r>
              <w:rPr/>
              <w:t>  </w:t>
            </w:r>
          </w:p>
        </w:tc>
        <w:tc>
          <w:tcPr>
            <w:tcW w:w="187" w:type="dxa"/>
            <w:tcBorders/>
          </w:tcPr>
          <w:p>
            <w:pPr>
              <w:pStyle w:val="TableContents"/>
              <w:bidi w:val="0"/>
              <w:spacing w:before="0" w:after="283"/>
              <w:jc w:val="left"/>
              <w:rPr>
                <w:sz w:val="4"/>
                <w:szCs w:val="4"/>
              </w:rPr>
            </w:pPr>
            <w:r>
              <w:rPr>
                <w:sz w:val="4"/>
                <w:szCs w:val="4"/>
              </w:rPr>
            </w:r>
          </w:p>
        </w:tc>
        <w:tc>
          <w:tcPr>
            <w:tcW w:w="98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84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4" w:type="dxa"/>
            <w:tcBorders/>
          </w:tcPr>
          <w:p>
            <w:pPr>
              <w:pStyle w:val="TableContents"/>
              <w:bidi w:val="0"/>
              <w:spacing w:before="0" w:after="283"/>
              <w:jc w:val="left"/>
              <w:rPr>
                <w:sz w:val="4"/>
                <w:szCs w:val="4"/>
              </w:rPr>
            </w:pPr>
            <w:r>
              <w:rPr>
                <w:sz w:val="4"/>
                <w:szCs w:val="4"/>
              </w:rPr>
            </w:r>
          </w:p>
        </w:tc>
        <w:tc>
          <w:tcPr>
            <w:tcW w:w="66" w:type="dxa"/>
            <w:tcBorders/>
          </w:tcPr>
          <w:p>
            <w:pPr>
              <w:pStyle w:val="TableContents"/>
              <w:bidi w:val="0"/>
              <w:spacing w:before="0" w:after="283"/>
              <w:jc w:val="left"/>
              <w:rPr>
                <w:sz w:val="4"/>
                <w:szCs w:val="4"/>
              </w:rPr>
            </w:pPr>
            <w:r>
              <w:rPr>
                <w:sz w:val="4"/>
                <w:szCs w:val="4"/>
              </w:rPr>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3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52,438</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52,588</w:t>
            </w:r>
          </w:p>
        </w:tc>
        <w:tc>
          <w:tcPr>
            <w:tcW w:w="66" w:type="dxa"/>
            <w:tcBorders/>
            <w:shd w:fill="CCEEFF" w:val="clear"/>
            <w:vAlign w:val="bottom"/>
          </w:tcPr>
          <w:p>
            <w:pPr>
              <w:pStyle w:val="TableContents"/>
              <w:bidi w:val="0"/>
              <w:spacing w:before="0" w:after="283"/>
              <w:jc w:val="left"/>
              <w:rPr/>
            </w:pPr>
            <w:r>
              <w:rPr/>
              <w:t> </w:t>
            </w:r>
          </w:p>
        </w:tc>
      </w:tr>
      <w:tr>
        <w:trPr/>
        <w:tc>
          <w:tcPr>
            <w:tcW w:w="573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3854" w:type="dxa"/>
            <w:gridSpan w:val="9"/>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737" w:type="dxa"/>
            <w:tcBorders/>
          </w:tcPr>
          <w:p>
            <w:pPr>
              <w:pStyle w:val="TableContents"/>
              <w:bidi w:val="0"/>
              <w:spacing w:before="0" w:after="0"/>
              <w:jc w:val="left"/>
              <w:rPr>
                <w:rFonts w:ascii="arial" w:hAnsi="arial"/>
                <w:sz w:val="20"/>
              </w:rPr>
            </w:pPr>
            <w:r>
              <w:rPr>
                <w:rFonts w:ascii="arial" w:hAnsi="arial"/>
                <w:sz w:val="20"/>
              </w:rPr>
              <w:t>Total</w:t>
            </w:r>
          </w:p>
        </w:tc>
        <w:tc>
          <w:tcPr>
            <w:tcW w:w="36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70,053</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70,204</w:t>
            </w:r>
          </w:p>
        </w:tc>
        <w:tc>
          <w:tcPr>
            <w:tcW w:w="66" w:type="dxa"/>
            <w:tcBorders/>
            <w:vAlign w:val="bottom"/>
          </w:tcPr>
          <w:p>
            <w:pPr>
              <w:pStyle w:val="TableContents"/>
              <w:bidi w:val="0"/>
              <w:spacing w:before="0" w:after="283"/>
              <w:jc w:val="left"/>
              <w:rPr/>
            </w:pPr>
            <w:r>
              <w:rPr/>
              <w:t> </w:t>
            </w:r>
          </w:p>
        </w:tc>
      </w:tr>
      <w:tr>
        <w:trPr/>
        <w:tc>
          <w:tcPr>
            <w:tcW w:w="10139" w:type="dxa"/>
            <w:gridSpan w:val="12"/>
            <w:tcBorders/>
          </w:tcPr>
          <w:p>
            <w:pPr>
              <w:pStyle w:val="TableContents"/>
              <w:pBdr>
                <w:bottom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summarizes the amortized cost and fair value of the Company’s cash equivalents and marketable securities by major investment category as of December 31,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86"/>
        <w:gridCol w:w="429"/>
        <w:gridCol w:w="187"/>
        <w:gridCol w:w="966"/>
        <w:gridCol w:w="60"/>
        <w:gridCol w:w="429"/>
        <w:gridCol w:w="398"/>
        <w:gridCol w:w="750"/>
        <w:gridCol w:w="60"/>
        <w:gridCol w:w="428"/>
        <w:gridCol w:w="140"/>
        <w:gridCol w:w="704"/>
        <w:gridCol w:w="68"/>
      </w:tblGrid>
      <w:tr>
        <w:trPr/>
        <w:tc>
          <w:tcPr>
            <w:tcW w:w="5586"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586" w:type="dxa"/>
            <w:tcBorders>
              <w:top w:val="single" w:sz="16" w:space="0" w:color="000000"/>
            </w:tcBorders>
            <w:tcMar>
              <w:top w:w="28" w:type="dxa"/>
            </w:tcMar>
            <w:vAlign w:val="center"/>
          </w:tcPr>
          <w:p>
            <w:pPr>
              <w:pStyle w:val="TableContents"/>
              <w:bidi w:val="0"/>
              <w:spacing w:before="0" w:after="283"/>
              <w:jc w:val="left"/>
              <w:rPr/>
            </w:pPr>
            <w:r>
              <w:rPr/>
              <w:t> </w:t>
            </w:r>
          </w:p>
        </w:tc>
        <w:tc>
          <w:tcPr>
            <w:tcW w:w="4619"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586"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4122" w:type="dxa"/>
            <w:gridSpan w:val="10"/>
            <w:tcBorders>
              <w:bottom w:val="single" w:sz="2" w:space="0" w:color="000000"/>
            </w:tcBorders>
            <w:tcMar>
              <w:bottom w:w="28" w:type="dxa"/>
            </w:tcMar>
            <w:vAlign w:val="bottom"/>
          </w:tcPr>
          <w:p>
            <w:pPr>
              <w:pStyle w:val="TableContents"/>
              <w:bidi w:val="0"/>
              <w:spacing w:before="0" w:after="283"/>
              <w:jc w:val="right"/>
              <w:rPr>
                <w:b/>
              </w:rPr>
            </w:pPr>
            <w:r>
              <w:rPr>
                <w:b/>
              </w:rPr>
              <w:t>December 31, 2025</w:t>
            </w:r>
          </w:p>
        </w:tc>
        <w:tc>
          <w:tcPr>
            <w:tcW w:w="68" w:type="dxa"/>
            <w:tcBorders/>
            <w:vAlign w:val="bottom"/>
          </w:tcPr>
          <w:p>
            <w:pPr>
              <w:pStyle w:val="TableContents"/>
              <w:bidi w:val="0"/>
              <w:spacing w:before="0" w:after="283"/>
              <w:jc w:val="left"/>
              <w:rPr/>
            </w:pPr>
            <w:r>
              <w:rPr/>
              <w:t> </w:t>
            </w:r>
          </w:p>
        </w:tc>
      </w:tr>
      <w:tr>
        <w:trPr/>
        <w:tc>
          <w:tcPr>
            <w:tcW w:w="5586" w:type="dxa"/>
            <w:vMerge w:val="continue"/>
            <w:tcBorders>
              <w:bottom w:val="single" w:sz="2" w:space="0" w:color="000000"/>
            </w:tcBorders>
            <w:tcMar>
              <w:bottom w:w="28" w:type="dxa"/>
            </w:tcMar>
            <w:vAlign w:val="bottom"/>
          </w:tcPr>
          <w:p>
            <w:pPr>
              <w:pStyle w:val="Normal"/>
              <w:bidi w:val="0"/>
              <w:jc w:val="left"/>
              <w:rPr/>
            </w:pPr>
            <w:r>
              <w:rPr/>
            </w:r>
          </w:p>
        </w:tc>
        <w:tc>
          <w:tcPr>
            <w:tcW w:w="429" w:type="dxa"/>
            <w:tcBorders>
              <w:bottom w:val="single" w:sz="2" w:space="0" w:color="000000"/>
            </w:tcBorders>
            <w:tcMar>
              <w:bottom w:w="28" w:type="dxa"/>
            </w:tcMar>
            <w:vAlign w:val="bottom"/>
          </w:tcPr>
          <w:p>
            <w:pPr>
              <w:pStyle w:val="TableContents"/>
              <w:bidi w:val="0"/>
              <w:spacing w:before="0" w:after="283"/>
              <w:jc w:val="left"/>
              <w:rPr/>
            </w:pPr>
            <w:r>
              <w:rPr/>
              <w:t>  </w:t>
            </w:r>
          </w:p>
        </w:tc>
        <w:tc>
          <w:tcPr>
            <w:tcW w:w="1153"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Amortized</w:t>
              <w:br/>
              <w:t>cost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9" w:type="dxa"/>
            <w:tcBorders>
              <w:bottom w:val="single" w:sz="2" w:space="0" w:color="000000"/>
            </w:tcBorders>
            <w:tcMar>
              <w:bottom w:w="28" w:type="dxa"/>
            </w:tcMar>
            <w:vAlign w:val="bottom"/>
          </w:tcPr>
          <w:p>
            <w:pPr>
              <w:pStyle w:val="TableContents"/>
              <w:bidi w:val="0"/>
              <w:spacing w:before="0" w:after="283"/>
              <w:jc w:val="left"/>
              <w:rPr/>
            </w:pPr>
            <w:r>
              <w:rPr/>
              <w:t>  </w:t>
            </w:r>
          </w:p>
        </w:tc>
        <w:tc>
          <w:tcPr>
            <w:tcW w:w="1148" w:type="dxa"/>
            <w:gridSpan w:val="2"/>
            <w:tcBorders>
              <w:bottom w:val="single" w:sz="2" w:space="0" w:color="000000"/>
            </w:tcBorders>
            <w:tcMar>
              <w:bottom w:w="28" w:type="dxa"/>
            </w:tcMar>
            <w:vAlign w:val="bottom"/>
          </w:tcPr>
          <w:p>
            <w:pPr>
              <w:pStyle w:val="TableContents"/>
              <w:bidi w:val="0"/>
              <w:spacing w:before="0" w:after="283"/>
              <w:jc w:val="right"/>
              <w:rPr>
                <w:b/>
              </w:rPr>
            </w:pPr>
            <w:r>
              <w:rPr>
                <w:b/>
              </w:rPr>
              <w:t>Unrealized</w:t>
              <w:br/>
              <w:t>gains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8" w:type="dxa"/>
            <w:tcBorders>
              <w:bottom w:val="single" w:sz="2" w:space="0" w:color="000000"/>
            </w:tcBorders>
            <w:tcMar>
              <w:bottom w:w="28" w:type="dxa"/>
            </w:tcMar>
            <w:vAlign w:val="bottom"/>
          </w:tcPr>
          <w:p>
            <w:pPr>
              <w:pStyle w:val="TableContents"/>
              <w:bidi w:val="0"/>
              <w:spacing w:before="0" w:after="283"/>
              <w:jc w:val="left"/>
              <w:rPr/>
            </w:pPr>
            <w:r>
              <w:rPr/>
              <w:t>  </w:t>
            </w:r>
          </w:p>
        </w:tc>
        <w:tc>
          <w:tcPr>
            <w:tcW w:w="844" w:type="dxa"/>
            <w:gridSpan w:val="2"/>
            <w:tcBorders>
              <w:bottom w:val="single" w:sz="2" w:space="0" w:color="000000"/>
            </w:tcBorders>
            <w:tcMar>
              <w:bottom w:w="28" w:type="dxa"/>
            </w:tcMar>
            <w:vAlign w:val="bottom"/>
          </w:tcPr>
          <w:p>
            <w:pPr>
              <w:pStyle w:val="TableContents"/>
              <w:bidi w:val="0"/>
              <w:spacing w:before="0" w:after="283"/>
              <w:jc w:val="right"/>
              <w:rPr>
                <w:b/>
              </w:rPr>
            </w:pPr>
            <w:r>
              <w:rPr>
                <w:b/>
              </w:rPr>
              <w:t>Fair</w:t>
              <w:br/>
              <w:t>value</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429"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96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429" w:type="dxa"/>
            <w:tcBorders/>
            <w:shd w:fill="CCEEFF" w:val="clear"/>
            <w:vAlign w:val="bottom"/>
          </w:tcPr>
          <w:p>
            <w:pPr>
              <w:pStyle w:val="TableContents"/>
              <w:bidi w:val="0"/>
              <w:spacing w:before="0" w:after="283"/>
              <w:jc w:val="left"/>
              <w:rPr/>
            </w:pPr>
            <w:r>
              <w:rPr/>
              <w:t>  </w:t>
            </w:r>
          </w:p>
        </w:tc>
        <w:tc>
          <w:tcPr>
            <w:tcW w:w="398" w:type="dxa"/>
            <w:tcBorders/>
            <w:shd w:fill="CCEEFF" w:val="clear"/>
          </w:tcPr>
          <w:p>
            <w:pPr>
              <w:pStyle w:val="TableContents"/>
              <w:bidi w:val="0"/>
              <w:spacing w:before="0" w:after="283"/>
              <w:jc w:val="left"/>
              <w:rPr>
                <w:sz w:val="4"/>
                <w:szCs w:val="4"/>
              </w:rPr>
            </w:pPr>
            <w:r>
              <w:rPr>
                <w:sz w:val="4"/>
                <w:szCs w:val="4"/>
              </w:rPr>
            </w:r>
          </w:p>
        </w:tc>
        <w:tc>
          <w:tcPr>
            <w:tcW w:w="7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04"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tcPr>
          <w:p>
            <w:pPr>
              <w:pStyle w:val="TableContents"/>
              <w:bidi w:val="0"/>
              <w:spacing w:before="0" w:after="283"/>
              <w:jc w:val="left"/>
              <w:rPr>
                <w:sz w:val="4"/>
                <w:szCs w:val="4"/>
              </w:rPr>
            </w:pPr>
            <w:r>
              <w:rPr>
                <w:sz w:val="4"/>
                <w:szCs w:val="4"/>
              </w:rPr>
            </w:r>
          </w:p>
        </w:tc>
      </w:tr>
      <w:tr>
        <w:trPr/>
        <w:tc>
          <w:tcPr>
            <w:tcW w:w="5586" w:type="dxa"/>
            <w:tcBorders/>
          </w:tcPr>
          <w:p>
            <w:pPr>
              <w:pStyle w:val="TableContents"/>
              <w:bidi w:val="0"/>
              <w:spacing w:before="0" w:after="0"/>
              <w:jc w:val="left"/>
              <w:rPr>
                <w:rFonts w:ascii="arial" w:hAnsi="arial"/>
                <w:sz w:val="20"/>
              </w:rPr>
            </w:pPr>
            <w:r>
              <w:rPr>
                <w:rFonts w:ascii="arial" w:hAnsi="arial"/>
                <w:sz w:val="20"/>
              </w:rPr>
              <w:t>Money market funds</w:t>
            </w:r>
          </w:p>
        </w:tc>
        <w:tc>
          <w:tcPr>
            <w:tcW w:w="429"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19,665</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19,665</w:t>
            </w:r>
          </w:p>
        </w:tc>
        <w:tc>
          <w:tcPr>
            <w:tcW w:w="68" w:type="dxa"/>
            <w:tcBorders/>
            <w:vAlign w:val="bottom"/>
          </w:tcPr>
          <w:p>
            <w:pPr>
              <w:pStyle w:val="TableContents"/>
              <w:bidi w:val="0"/>
              <w:spacing w:before="0" w:after="283"/>
              <w:jc w:val="left"/>
              <w:rPr/>
            </w:pPr>
            <w:r>
              <w:rPr/>
              <w:t> </w:t>
            </w:r>
          </w:p>
        </w:tc>
      </w:tr>
      <w:tr>
        <w:trPr/>
        <w:tc>
          <w:tcPr>
            <w:tcW w:w="558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2603"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42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66" w:type="dxa"/>
            <w:tcBorders/>
            <w:shd w:fill="CCEEFF" w:val="clear"/>
            <w:vAlign w:val="bottom"/>
          </w:tcPr>
          <w:p>
            <w:pPr>
              <w:pStyle w:val="TableContents"/>
              <w:bidi w:val="0"/>
              <w:spacing w:before="0" w:after="283"/>
              <w:jc w:val="right"/>
              <w:rPr/>
            </w:pPr>
            <w:r>
              <w:rPr/>
              <w:t>19,665</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19,665</w:t>
            </w:r>
          </w:p>
        </w:tc>
        <w:tc>
          <w:tcPr>
            <w:tcW w:w="68" w:type="dxa"/>
            <w:tcBorders/>
            <w:shd w:fill="CCEEFF" w:val="clear"/>
            <w:vAlign w:val="bottom"/>
          </w:tcPr>
          <w:p>
            <w:pPr>
              <w:pStyle w:val="TableContents"/>
              <w:bidi w:val="0"/>
              <w:spacing w:before="0" w:after="283"/>
              <w:jc w:val="left"/>
              <w:rPr/>
            </w:pPr>
            <w:r>
              <w:rPr/>
              <w:t> </w:t>
            </w:r>
          </w:p>
        </w:tc>
      </w:tr>
      <w:tr>
        <w:trPr/>
        <w:tc>
          <w:tcPr>
            <w:tcW w:w="10137" w:type="dxa"/>
            <w:gridSpan w:val="12"/>
            <w:tcBorders/>
          </w:tcPr>
          <w:p>
            <w:pPr>
              <w:pStyle w:val="TableContents"/>
              <w:pBdr>
                <w:bottom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There were no short-term or long-term investments outstanding as of December 31, 2025. </w:t>
      </w:r>
    </w:p>
    <w:p>
      <w:pPr>
        <w:pStyle w:val="TextBody"/>
        <w:bidi w:val="0"/>
        <w:spacing w:before="320" w:after="0"/>
        <w:jc w:val="left"/>
        <w:rPr>
          <w:rFonts w:ascii="arial" w:hAnsi="arial"/>
          <w:b/>
          <w:sz w:val="24"/>
        </w:rPr>
      </w:pPr>
      <w:r>
        <w:rPr>
          <w:rFonts w:ascii="arial" w:hAnsi="arial"/>
          <w:b/>
          <w:sz w:val="24"/>
        </w:rPr>
        <w:t xml:space="preserve">6. Significant balance sheet components </w:t>
      </w:r>
    </w:p>
    <w:p>
      <w:pPr>
        <w:pStyle w:val="TextBody"/>
        <w:bidi w:val="0"/>
        <w:spacing w:before="160" w:after="0"/>
        <w:jc w:val="left"/>
        <w:rPr>
          <w:rFonts w:ascii="arial" w:hAnsi="arial"/>
          <w:sz w:val="20"/>
        </w:rPr>
      </w:pPr>
      <w:r>
        <w:rPr>
          <w:rFonts w:ascii="arial" w:hAnsi="arial"/>
          <w:i/>
          <w:sz w:val="20"/>
        </w:rPr>
        <w:t>Inventory</w:t>
      </w:r>
      <w:r>
        <w:rPr>
          <w:rFonts w:ascii="arial" w:hAnsi="arial"/>
          <w:sz w:val="20"/>
        </w:rPr>
        <w:t xml:space="preserve">—Inventory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4"/>
        <w:gridCol w:w="327"/>
        <w:gridCol w:w="140"/>
        <w:gridCol w:w="691"/>
        <w:gridCol w:w="60"/>
        <w:gridCol w:w="327"/>
        <w:gridCol w:w="140"/>
        <w:gridCol w:w="691"/>
        <w:gridCol w:w="65"/>
      </w:tblGrid>
      <w:tr>
        <w:trPr/>
        <w:tc>
          <w:tcPr>
            <w:tcW w:w="7764"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64" w:type="dxa"/>
            <w:tcBorders>
              <w:top w:val="single" w:sz="16" w:space="0" w:color="000000"/>
            </w:tcBorders>
            <w:tcMar>
              <w:top w:w="28" w:type="dxa"/>
            </w:tcMar>
            <w:vAlign w:val="center"/>
          </w:tcPr>
          <w:p>
            <w:pPr>
              <w:pStyle w:val="TableContents"/>
              <w:bidi w:val="0"/>
              <w:spacing w:before="0" w:after="283"/>
              <w:jc w:val="left"/>
              <w:rPr/>
            </w:pPr>
            <w:r>
              <w:rPr/>
              <w:t> </w:t>
            </w:r>
          </w:p>
        </w:tc>
        <w:tc>
          <w:tcPr>
            <w:tcW w:w="244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049"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65" w:type="dxa"/>
            <w:tcBorders/>
            <w:vAlign w:val="bottom"/>
          </w:tcPr>
          <w:p>
            <w:pPr>
              <w:pStyle w:val="TableContents"/>
              <w:bidi w:val="0"/>
              <w:spacing w:before="0" w:after="283"/>
              <w:jc w:val="left"/>
              <w:rPr/>
            </w:pPr>
            <w:r>
              <w:rPr/>
              <w:t> </w:t>
            </w:r>
          </w:p>
        </w:tc>
      </w:tr>
      <w:tr>
        <w:trPr/>
        <w:tc>
          <w:tcPr>
            <w:tcW w:w="7764" w:type="dxa"/>
            <w:tcBorders>
              <w:bottom w:val="single" w:sz="2" w:space="0" w:color="000000"/>
            </w:tcBorders>
            <w:tcMar>
              <w:bottom w:w="28" w:type="dxa"/>
            </w:tcMar>
            <w:vAlign w:val="bottom"/>
          </w:tcPr>
          <w:p>
            <w:pPr>
              <w:pStyle w:val="TableContents"/>
              <w:bidi w:val="0"/>
              <w:spacing w:before="0" w:after="283"/>
              <w:jc w:val="left"/>
              <w:rPr/>
            </w:pPr>
            <w:r>
              <w:rPr/>
              <w:t>  </w:t>
            </w:r>
          </w:p>
        </w:tc>
        <w:tc>
          <w:tcPr>
            <w:tcW w:w="327" w:type="dxa"/>
            <w:tcBorders>
              <w:bottom w:val="single" w:sz="2" w:space="0" w:color="000000"/>
            </w:tcBorders>
            <w:tcMar>
              <w:bottom w:w="28" w:type="dxa"/>
            </w:tcMar>
            <w:vAlign w:val="bottom"/>
          </w:tcPr>
          <w:p>
            <w:pPr>
              <w:pStyle w:val="TableContents"/>
              <w:bidi w:val="0"/>
              <w:spacing w:before="0" w:after="283"/>
              <w:jc w:val="left"/>
              <w:rPr/>
            </w:pPr>
            <w:r>
              <w:rPr/>
              <w:t>  </w:t>
            </w:r>
          </w:p>
        </w:tc>
        <w:tc>
          <w:tcPr>
            <w:tcW w:w="83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7" w:type="dxa"/>
            <w:tcBorders>
              <w:bottom w:val="single" w:sz="2" w:space="0" w:color="000000"/>
            </w:tcBorders>
            <w:tcMar>
              <w:bottom w:w="28" w:type="dxa"/>
            </w:tcMar>
            <w:vAlign w:val="bottom"/>
          </w:tcPr>
          <w:p>
            <w:pPr>
              <w:pStyle w:val="TableContents"/>
              <w:bidi w:val="0"/>
              <w:spacing w:before="0" w:after="283"/>
              <w:jc w:val="left"/>
              <w:rPr/>
            </w:pPr>
            <w:r>
              <w:rPr/>
              <w:t>  </w:t>
            </w:r>
          </w:p>
        </w:tc>
        <w:tc>
          <w:tcPr>
            <w:tcW w:w="83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Raw materials</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9,124</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24,741</w:t>
            </w:r>
          </w:p>
        </w:tc>
        <w:tc>
          <w:tcPr>
            <w:tcW w:w="65" w:type="dxa"/>
            <w:tcBorders/>
            <w:shd w:fill="CCEEFF" w:val="clear"/>
            <w:vAlign w:val="bottom"/>
          </w:tcPr>
          <w:p>
            <w:pPr>
              <w:pStyle w:val="TableContents"/>
              <w:bidi w:val="0"/>
              <w:spacing w:before="0" w:after="283"/>
              <w:jc w:val="left"/>
              <w:rPr/>
            </w:pPr>
            <w:r>
              <w:rPr/>
              <w:t> </w:t>
            </w:r>
          </w:p>
        </w:tc>
      </w:tr>
      <w:tr>
        <w:trPr/>
        <w:tc>
          <w:tcPr>
            <w:tcW w:w="7764" w:type="dxa"/>
            <w:tcBorders/>
          </w:tcPr>
          <w:p>
            <w:pPr>
              <w:pStyle w:val="TableContents"/>
              <w:bidi w:val="0"/>
              <w:spacing w:before="0" w:after="0"/>
              <w:jc w:val="left"/>
              <w:rPr>
                <w:rFonts w:ascii="arial" w:hAnsi="arial"/>
                <w:sz w:val="20"/>
              </w:rPr>
            </w:pPr>
            <w:r>
              <w:rPr>
                <w:rFonts w:ascii="arial" w:hAnsi="arial"/>
                <w:sz w:val="20"/>
              </w:rPr>
              <w:t>Work in progress</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1,075</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2,921</w:t>
            </w:r>
          </w:p>
        </w:tc>
        <w:tc>
          <w:tcPr>
            <w:tcW w:w="65" w:type="dxa"/>
            <w:tcBorders/>
            <w:vAlign w:val="bottom"/>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Finished goods</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4,209</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10,820</w:t>
            </w:r>
          </w:p>
        </w:tc>
        <w:tc>
          <w:tcPr>
            <w:tcW w:w="65" w:type="dxa"/>
            <w:tcBorders/>
            <w:shd w:fill="CCEEFF" w:val="clear"/>
            <w:vAlign w:val="bottom"/>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09" w:type="dxa"/>
            <w:gridSpan w:val="5"/>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64" w:type="dxa"/>
            <w:tcBorders/>
          </w:tcPr>
          <w:p>
            <w:pPr>
              <w:pStyle w:val="TableContents"/>
              <w:bidi w:val="0"/>
              <w:spacing w:before="0" w:after="0"/>
              <w:jc w:val="left"/>
              <w:rPr>
                <w:rFonts w:ascii="arial" w:hAnsi="arial"/>
                <w:sz w:val="20"/>
              </w:rPr>
            </w:pPr>
            <w:r>
              <w:rPr>
                <w:rFonts w:ascii="arial" w:hAnsi="arial"/>
                <w:sz w:val="20"/>
              </w:rPr>
              <w:t>Total</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14,408</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38,482</w:t>
            </w:r>
          </w:p>
        </w:tc>
        <w:tc>
          <w:tcPr>
            <w:tcW w:w="65" w:type="dxa"/>
            <w:tcBorders/>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i/>
          <w:sz w:val="20"/>
        </w:rPr>
        <w:t>Property and equipment, net</w:t>
      </w:r>
      <w:r>
        <w:rPr>
          <w:rFonts w:ascii="arial" w:hAnsi="arial"/>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9"/>
        <w:gridCol w:w="234"/>
        <w:gridCol w:w="157"/>
        <w:gridCol w:w="695"/>
        <w:gridCol w:w="165"/>
        <w:gridCol w:w="203"/>
        <w:gridCol w:w="157"/>
        <w:gridCol w:w="695"/>
        <w:gridCol w:w="170"/>
      </w:tblGrid>
      <w:tr>
        <w:trPr/>
        <w:tc>
          <w:tcPr>
            <w:tcW w:w="772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29" w:type="dxa"/>
            <w:tcBorders>
              <w:top w:val="single" w:sz="16" w:space="0" w:color="000000"/>
            </w:tcBorders>
            <w:tcMar>
              <w:top w:w="28" w:type="dxa"/>
            </w:tcMar>
            <w:vAlign w:val="center"/>
          </w:tcPr>
          <w:p>
            <w:pPr>
              <w:pStyle w:val="TableContents"/>
              <w:bidi w:val="0"/>
              <w:spacing w:before="0" w:after="283"/>
              <w:jc w:val="left"/>
              <w:rPr/>
            </w:pPr>
            <w:r>
              <w:rPr/>
              <w:t> </w:t>
            </w:r>
          </w:p>
        </w:tc>
        <w:tc>
          <w:tcPr>
            <w:tcW w:w="247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72"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170" w:type="dxa"/>
            <w:tcBorders/>
            <w:vAlign w:val="bottom"/>
          </w:tcPr>
          <w:p>
            <w:pPr>
              <w:pStyle w:val="TableContents"/>
              <w:bidi w:val="0"/>
              <w:spacing w:before="0" w:after="283"/>
              <w:jc w:val="left"/>
              <w:rPr/>
            </w:pPr>
            <w:r>
              <w:rPr/>
              <w:t> </w:t>
            </w:r>
          </w:p>
        </w:tc>
      </w:tr>
      <w:tr>
        <w:trPr/>
        <w:tc>
          <w:tcPr>
            <w:tcW w:w="7729" w:type="dxa"/>
            <w:tcBorders>
              <w:bottom w:val="single" w:sz="2" w:space="0" w:color="000000"/>
            </w:tcBorders>
            <w:tcMar>
              <w:bottom w:w="28" w:type="dxa"/>
            </w:tcMar>
            <w:vAlign w:val="bottom"/>
          </w:tcPr>
          <w:p>
            <w:pPr>
              <w:pStyle w:val="TableContents"/>
              <w:bidi w:val="0"/>
              <w:spacing w:before="0" w:after="283"/>
              <w:jc w:val="left"/>
              <w:rPr/>
            </w:pPr>
            <w:r>
              <w:rPr/>
              <w:t>  </w:t>
            </w:r>
          </w:p>
        </w:tc>
        <w:tc>
          <w:tcPr>
            <w:tcW w:w="234" w:type="dxa"/>
            <w:tcBorders>
              <w:bottom w:val="single" w:sz="2" w:space="0" w:color="000000"/>
            </w:tcBorders>
            <w:tcMar>
              <w:bottom w:w="28" w:type="dxa"/>
            </w:tcMar>
            <w:vAlign w:val="bottom"/>
          </w:tcPr>
          <w:p>
            <w:pPr>
              <w:pStyle w:val="TableContents"/>
              <w:bidi w:val="0"/>
              <w:spacing w:before="0" w:after="283"/>
              <w:jc w:val="left"/>
              <w:rPr/>
            </w:pPr>
            <w:r>
              <w:rPr/>
              <w:t>  </w:t>
            </w:r>
          </w:p>
        </w:tc>
        <w:tc>
          <w:tcPr>
            <w:tcW w:w="85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65" w:type="dxa"/>
            <w:tcBorders>
              <w:bottom w:val="single" w:sz="2" w:space="0" w:color="000000"/>
            </w:tcBorders>
            <w:tcMar>
              <w:bottom w:w="28" w:type="dxa"/>
            </w:tcMar>
            <w:vAlign w:val="bottom"/>
          </w:tcPr>
          <w:p>
            <w:pPr>
              <w:pStyle w:val="TableContents"/>
              <w:bidi w:val="0"/>
              <w:spacing w:before="0" w:after="283"/>
              <w:jc w:val="left"/>
              <w:rPr/>
            </w:pPr>
            <w:r>
              <w:rPr/>
              <w:t> </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85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Computer, machinery and equipment</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12,130</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15,828</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Furniture and fixtures</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754</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885</w:t>
            </w:r>
          </w:p>
        </w:tc>
        <w:tc>
          <w:tcPr>
            <w:tcW w:w="170" w:type="dxa"/>
            <w:tcBorders/>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Software</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45</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49</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Leasehold improvements</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151</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1,053</w:t>
            </w:r>
          </w:p>
        </w:tc>
        <w:tc>
          <w:tcPr>
            <w:tcW w:w="170" w:type="dxa"/>
            <w:tcBorders/>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ARGO Instrument for lease or demo</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1,020</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915" w:type="dxa"/>
            <w:gridSpan w:val="5"/>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Property and equipment, gross</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13,080</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18,835</w:t>
            </w:r>
          </w:p>
        </w:tc>
        <w:tc>
          <w:tcPr>
            <w:tcW w:w="170" w:type="dxa"/>
            <w:tcBorders/>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Less: Accumulated depreciation</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(5,557</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(8,337</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915" w:type="dxa"/>
            <w:gridSpan w:val="5"/>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7,523</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10,498</w:t>
            </w:r>
          </w:p>
        </w:tc>
        <w:tc>
          <w:tcPr>
            <w:tcW w:w="170" w:type="dxa"/>
            <w:tcBorders/>
            <w:vAlign w:val="bottom"/>
          </w:tcPr>
          <w:p>
            <w:pPr>
              <w:pStyle w:val="TableContents"/>
              <w:bidi w:val="0"/>
              <w:spacing w:before="0" w:after="283"/>
              <w:jc w:val="left"/>
              <w:rPr/>
            </w:pPr>
            <w:r>
              <w:rPr/>
              <w:t> </w:t>
            </w:r>
          </w:p>
        </w:tc>
      </w:tr>
      <w:tr>
        <w:trPr/>
        <w:tc>
          <w:tcPr>
            <w:tcW w:w="10035" w:type="dxa"/>
            <w:gridSpan w:val="8"/>
            <w:tcBorders/>
          </w:tcPr>
          <w:p>
            <w:pPr>
              <w:pStyle w:val="TableContents"/>
              <w:pBdr>
                <w:bottom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Depreciation expense for the years ended December 31, 2024 and 2025 was $2.3 million and $2.7 million. As of December 31, 2024 and 2025, substantially all of the Company’s long-lived assets consisting of property and equipment and operating lease right-of-use assets are located within the United States. </w:t>
      </w:r>
    </w:p>
    <w:p>
      <w:pPr>
        <w:pStyle w:val="TextBody"/>
        <w:bidi w:val="0"/>
        <w:spacing w:before="160" w:after="0"/>
        <w:jc w:val="left"/>
        <w:rPr>
          <w:rFonts w:ascii="arial" w:hAnsi="arial"/>
          <w:sz w:val="20"/>
        </w:rPr>
      </w:pPr>
      <w:r>
        <w:rPr>
          <w:rFonts w:ascii="arial" w:hAnsi="arial"/>
          <w:i/>
          <w:sz w:val="20"/>
        </w:rPr>
        <w:t>Accrued and other current liabilities</w:t>
      </w:r>
      <w:r>
        <w:rPr>
          <w:rFonts w:ascii="arial" w:hAnsi="arial"/>
          <w:sz w:val="20"/>
        </w:rPr>
        <w:t xml:space="preserve">—Accrued and other current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7"/>
        <w:gridCol w:w="325"/>
        <w:gridCol w:w="140"/>
        <w:gridCol w:w="570"/>
        <w:gridCol w:w="60"/>
        <w:gridCol w:w="325"/>
        <w:gridCol w:w="140"/>
        <w:gridCol w:w="723"/>
        <w:gridCol w:w="65"/>
      </w:tblGrid>
      <w:tr>
        <w:trPr/>
        <w:tc>
          <w:tcPr>
            <w:tcW w:w="7857"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857" w:type="dxa"/>
            <w:tcBorders>
              <w:top w:val="single" w:sz="16" w:space="0" w:color="000000"/>
            </w:tcBorders>
            <w:tcMar>
              <w:top w:w="28" w:type="dxa"/>
            </w:tcMar>
            <w:vAlign w:val="center"/>
          </w:tcPr>
          <w:p>
            <w:pPr>
              <w:pStyle w:val="TableContents"/>
              <w:bidi w:val="0"/>
              <w:spacing w:before="0" w:after="283"/>
              <w:jc w:val="left"/>
              <w:rPr/>
            </w:pPr>
            <w:r>
              <w:rPr/>
              <w:t> </w:t>
            </w:r>
          </w:p>
        </w:tc>
        <w:tc>
          <w:tcPr>
            <w:tcW w:w="234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85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58"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65" w:type="dxa"/>
            <w:tcBorders/>
            <w:vAlign w:val="bottom"/>
          </w:tcPr>
          <w:p>
            <w:pPr>
              <w:pStyle w:val="TableContents"/>
              <w:bidi w:val="0"/>
              <w:spacing w:before="0" w:after="283"/>
              <w:jc w:val="left"/>
              <w:rPr/>
            </w:pPr>
            <w:r>
              <w:rPr/>
              <w:t> </w:t>
            </w:r>
          </w:p>
        </w:tc>
      </w:tr>
      <w:tr>
        <w:trPr/>
        <w:tc>
          <w:tcPr>
            <w:tcW w:w="7857"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71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6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857" w:type="dxa"/>
            <w:tcBorders/>
            <w:shd w:fill="CCEEFF" w:val="clear"/>
          </w:tcPr>
          <w:p>
            <w:pPr>
              <w:pStyle w:val="TableContents"/>
              <w:bidi w:val="0"/>
              <w:spacing w:before="0" w:after="0"/>
              <w:jc w:val="left"/>
              <w:rPr>
                <w:rFonts w:ascii="arial" w:hAnsi="arial"/>
                <w:sz w:val="20"/>
              </w:rPr>
            </w:pPr>
            <w:r>
              <w:rPr>
                <w:rFonts w:ascii="arial" w:hAnsi="arial"/>
                <w:sz w:val="20"/>
              </w:rPr>
              <w:t>Accrued compensation</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5,422</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6,856</w:t>
            </w:r>
          </w:p>
        </w:tc>
        <w:tc>
          <w:tcPr>
            <w:tcW w:w="65" w:type="dxa"/>
            <w:tcBorders/>
            <w:shd w:fill="CCEEFF" w:val="clear"/>
            <w:vAlign w:val="bottom"/>
          </w:tcPr>
          <w:p>
            <w:pPr>
              <w:pStyle w:val="TableContents"/>
              <w:bidi w:val="0"/>
              <w:spacing w:before="0" w:after="283"/>
              <w:jc w:val="left"/>
              <w:rPr/>
            </w:pPr>
            <w:r>
              <w:rPr/>
              <w:t> </w:t>
            </w:r>
          </w:p>
        </w:tc>
      </w:tr>
      <w:tr>
        <w:trPr/>
        <w:tc>
          <w:tcPr>
            <w:tcW w:w="7857" w:type="dxa"/>
            <w:tcBorders/>
          </w:tcPr>
          <w:p>
            <w:pPr>
              <w:pStyle w:val="TableContents"/>
              <w:bidi w:val="0"/>
              <w:spacing w:before="0" w:after="0"/>
              <w:jc w:val="left"/>
              <w:rPr>
                <w:rFonts w:ascii="arial" w:hAnsi="arial"/>
                <w:sz w:val="20"/>
              </w:rPr>
            </w:pPr>
            <w:r>
              <w:rPr>
                <w:rFonts w:ascii="arial" w:hAnsi="arial"/>
                <w:sz w:val="20"/>
              </w:rPr>
              <w:t>Deferred revenue, current</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470</w:t>
            </w:r>
          </w:p>
        </w:tc>
        <w:tc>
          <w:tcPr>
            <w:tcW w:w="65" w:type="dxa"/>
            <w:tcBorders/>
            <w:vAlign w:val="bottom"/>
          </w:tcPr>
          <w:p>
            <w:pPr>
              <w:pStyle w:val="TableContents"/>
              <w:bidi w:val="0"/>
              <w:spacing w:before="0" w:after="283"/>
              <w:jc w:val="left"/>
              <w:rPr/>
            </w:pPr>
            <w:r>
              <w:rPr/>
              <w:t> </w:t>
            </w:r>
          </w:p>
        </w:tc>
      </w:tr>
      <w:tr>
        <w:trPr/>
        <w:tc>
          <w:tcPr>
            <w:tcW w:w="7857" w:type="dxa"/>
            <w:tcBorders/>
            <w:shd w:fill="CCEEFF" w:val="clear"/>
          </w:tcPr>
          <w:p>
            <w:pPr>
              <w:pStyle w:val="TableContents"/>
              <w:bidi w:val="0"/>
              <w:spacing w:before="0" w:after="0"/>
              <w:jc w:val="left"/>
              <w:rPr>
                <w:rFonts w:ascii="arial" w:hAnsi="arial"/>
                <w:sz w:val="20"/>
              </w:rPr>
            </w:pPr>
            <w:r>
              <w:rPr>
                <w:rFonts w:ascii="arial" w:hAnsi="arial"/>
                <w:sz w:val="20"/>
              </w:rPr>
              <w:t>Accrued warranty expense</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556</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870</w:t>
            </w:r>
          </w:p>
        </w:tc>
        <w:tc>
          <w:tcPr>
            <w:tcW w:w="65" w:type="dxa"/>
            <w:tcBorders/>
            <w:shd w:fill="CCEEFF" w:val="clear"/>
            <w:vAlign w:val="bottom"/>
          </w:tcPr>
          <w:p>
            <w:pPr>
              <w:pStyle w:val="TableContents"/>
              <w:bidi w:val="0"/>
              <w:spacing w:before="0" w:after="283"/>
              <w:jc w:val="left"/>
              <w:rPr/>
            </w:pPr>
            <w:r>
              <w:rPr/>
              <w:t> </w:t>
            </w:r>
          </w:p>
        </w:tc>
      </w:tr>
      <w:tr>
        <w:trPr/>
        <w:tc>
          <w:tcPr>
            <w:tcW w:w="7857" w:type="dxa"/>
            <w:tcBorders/>
          </w:tcPr>
          <w:p>
            <w:pPr>
              <w:pStyle w:val="TableContents"/>
              <w:bidi w:val="0"/>
              <w:spacing w:before="0" w:after="0"/>
              <w:jc w:val="left"/>
              <w:rPr>
                <w:rFonts w:ascii="arial" w:hAnsi="arial"/>
                <w:sz w:val="20"/>
              </w:rPr>
            </w:pPr>
            <w:r>
              <w:rPr>
                <w:rFonts w:ascii="arial" w:hAnsi="arial"/>
                <w:sz w:val="20"/>
              </w:rPr>
              <w:t>Accrued deferred offering costs</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734</w:t>
            </w:r>
          </w:p>
        </w:tc>
        <w:tc>
          <w:tcPr>
            <w:tcW w:w="65" w:type="dxa"/>
            <w:tcBorders/>
            <w:vAlign w:val="bottom"/>
          </w:tcPr>
          <w:p>
            <w:pPr>
              <w:pStyle w:val="TableContents"/>
              <w:bidi w:val="0"/>
              <w:spacing w:before="0" w:after="283"/>
              <w:jc w:val="left"/>
              <w:rPr/>
            </w:pPr>
            <w:r>
              <w:rPr/>
              <w:t> </w:t>
            </w:r>
          </w:p>
        </w:tc>
      </w:tr>
      <w:tr>
        <w:trPr/>
        <w:tc>
          <w:tcPr>
            <w:tcW w:w="7857" w:type="dxa"/>
            <w:tcBorders/>
            <w:shd w:fill="CCEEFF" w:val="clear"/>
          </w:tcPr>
          <w:p>
            <w:pPr>
              <w:pStyle w:val="TableContents"/>
              <w:bidi w:val="0"/>
              <w:spacing w:before="0" w:after="0"/>
              <w:jc w:val="left"/>
              <w:rPr>
                <w:rFonts w:ascii="arial" w:hAnsi="arial"/>
                <w:sz w:val="20"/>
              </w:rPr>
            </w:pPr>
            <w:r>
              <w:rPr>
                <w:rFonts w:ascii="arial" w:hAnsi="arial"/>
                <w:sz w:val="20"/>
              </w:rPr>
              <w:t>Other accrued liabilities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1,940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6,829</w:t>
            </w:r>
          </w:p>
        </w:tc>
        <w:tc>
          <w:tcPr>
            <w:tcW w:w="65" w:type="dxa"/>
            <w:tcBorders/>
            <w:shd w:fill="CCEEFF" w:val="clear"/>
            <w:vAlign w:val="bottom"/>
          </w:tcPr>
          <w:p>
            <w:pPr>
              <w:pStyle w:val="TableContents"/>
              <w:bidi w:val="0"/>
              <w:spacing w:before="0" w:after="283"/>
              <w:jc w:val="left"/>
              <w:rPr/>
            </w:pPr>
            <w:r>
              <w:rPr/>
              <w:t> </w:t>
            </w:r>
          </w:p>
        </w:tc>
      </w:tr>
      <w:tr>
        <w:trPr/>
        <w:tc>
          <w:tcPr>
            <w:tcW w:w="7857"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18" w:type="dxa"/>
            <w:gridSpan w:val="5"/>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857" w:type="dxa"/>
            <w:tcBorders/>
          </w:tcPr>
          <w:p>
            <w:pPr>
              <w:pStyle w:val="TableContents"/>
              <w:bidi w:val="0"/>
              <w:spacing w:before="0" w:after="0"/>
              <w:jc w:val="left"/>
              <w:rPr>
                <w:rFonts w:ascii="arial" w:hAnsi="arial"/>
                <w:sz w:val="20"/>
              </w:rPr>
            </w:pPr>
            <w:r>
              <w:rPr>
                <w:rFonts w:ascii="arial" w:hAnsi="arial"/>
                <w:sz w:val="20"/>
              </w:rPr>
              <w:t>Total</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8,493</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15,759</w:t>
            </w:r>
          </w:p>
        </w:tc>
        <w:tc>
          <w:tcPr>
            <w:tcW w:w="65" w:type="dxa"/>
            <w:tcBorders/>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Company’s product warranty provides that the ARGO HT System will operate materially in accordance with specifications for 12 months from the delivery date. The warranty does not provide the customer with a service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addition to the assurance that the product complies with agreed-upon specifications, therefore it is an assurance type warranty. The Company uses its understanding of industrial practice, expected site visits, potential use of spare parts, and other relevant information to accrue estimated warranty costs upon delivery of the ARGO HT Systems. </w:t>
      </w:r>
    </w:p>
    <w:p>
      <w:pPr>
        <w:pStyle w:val="TextBody"/>
        <w:bidi w:val="0"/>
        <w:spacing w:before="160" w:after="0"/>
        <w:jc w:val="left"/>
        <w:rPr>
          <w:rFonts w:ascii="arial" w:hAnsi="arial"/>
          <w:sz w:val="20"/>
        </w:rPr>
      </w:pPr>
      <w:r>
        <w:rPr>
          <w:rFonts w:ascii="arial" w:hAnsi="arial"/>
          <w:sz w:val="20"/>
        </w:rPr>
        <w:t xml:space="preserve">Changes in the reserve for product warranties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6"/>
        <w:gridCol w:w="410"/>
        <w:gridCol w:w="140"/>
        <w:gridCol w:w="591"/>
        <w:gridCol w:w="155"/>
        <w:gridCol w:w="364"/>
        <w:gridCol w:w="140"/>
        <w:gridCol w:w="649"/>
        <w:gridCol w:w="160"/>
      </w:tblGrid>
      <w:tr>
        <w:trPr/>
        <w:tc>
          <w:tcPr>
            <w:tcW w:w="7596"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596" w:type="dxa"/>
            <w:tcBorders>
              <w:top w:val="single" w:sz="16" w:space="0" w:color="000000"/>
            </w:tcBorders>
            <w:tcMar>
              <w:top w:w="28" w:type="dxa"/>
            </w:tcMar>
            <w:vAlign w:val="center"/>
          </w:tcPr>
          <w:p>
            <w:pPr>
              <w:pStyle w:val="TableContents"/>
              <w:bidi w:val="0"/>
              <w:spacing w:before="0" w:after="283"/>
              <w:jc w:val="left"/>
              <w:rPr/>
            </w:pPr>
            <w:r>
              <w:rPr/>
              <w:t> </w:t>
            </w:r>
          </w:p>
        </w:tc>
        <w:tc>
          <w:tcPr>
            <w:tcW w:w="260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03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60" w:type="dxa"/>
            <w:tcBorders/>
            <w:vAlign w:val="bottom"/>
          </w:tcPr>
          <w:p>
            <w:pPr>
              <w:pStyle w:val="TableContents"/>
              <w:bidi w:val="0"/>
              <w:spacing w:before="0" w:after="283"/>
              <w:jc w:val="left"/>
              <w:rPr/>
            </w:pPr>
            <w:r>
              <w:rPr/>
              <w:t> </w:t>
            </w:r>
          </w:p>
        </w:tc>
      </w:tr>
      <w:tr>
        <w:trPr/>
        <w:tc>
          <w:tcPr>
            <w:tcW w:w="7596" w:type="dxa"/>
            <w:tcBorders>
              <w:bottom w:val="single" w:sz="2" w:space="0" w:color="000000"/>
            </w:tcBorders>
            <w:tcMar>
              <w:bottom w:w="28" w:type="dxa"/>
            </w:tcMar>
            <w:vAlign w:val="bottom"/>
          </w:tcPr>
          <w:p>
            <w:pPr>
              <w:pStyle w:val="TableContents"/>
              <w:bidi w:val="0"/>
              <w:spacing w:before="0" w:after="283"/>
              <w:jc w:val="left"/>
              <w:rPr/>
            </w:pPr>
            <w:r>
              <w:rPr/>
              <w:t>  </w:t>
            </w:r>
          </w:p>
        </w:tc>
        <w:tc>
          <w:tcPr>
            <w:tcW w:w="410" w:type="dxa"/>
            <w:tcBorders>
              <w:bottom w:val="single" w:sz="2" w:space="0" w:color="000000"/>
            </w:tcBorders>
            <w:tcMar>
              <w:bottom w:w="28" w:type="dxa"/>
            </w:tcMar>
            <w:vAlign w:val="bottom"/>
          </w:tcPr>
          <w:p>
            <w:pPr>
              <w:pStyle w:val="TableContents"/>
              <w:bidi w:val="0"/>
              <w:spacing w:before="0" w:after="283"/>
              <w:jc w:val="left"/>
              <w:rPr/>
            </w:pPr>
            <w:r>
              <w:rPr/>
              <w:t>  </w:t>
            </w:r>
          </w:p>
        </w:tc>
        <w:tc>
          <w:tcPr>
            <w:tcW w:w="73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64" w:type="dxa"/>
            <w:tcBorders>
              <w:bottom w:val="single" w:sz="2" w:space="0" w:color="000000"/>
            </w:tcBorders>
            <w:tcMar>
              <w:bottom w:w="28" w:type="dxa"/>
            </w:tcMar>
            <w:vAlign w:val="bottom"/>
          </w:tcPr>
          <w:p>
            <w:pPr>
              <w:pStyle w:val="TableContents"/>
              <w:bidi w:val="0"/>
              <w:spacing w:before="0" w:after="283"/>
              <w:jc w:val="left"/>
              <w:rPr/>
            </w:pPr>
            <w:r>
              <w:rPr/>
              <w:t> </w:t>
            </w:r>
          </w:p>
        </w:tc>
        <w:tc>
          <w:tcPr>
            <w:tcW w:w="78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arial" w:hAnsi="arial"/>
                <w:sz w:val="20"/>
              </w:rPr>
            </w:pPr>
            <w:r>
              <w:rPr>
                <w:rFonts w:ascii="arial" w:hAnsi="arial"/>
                <w:sz w:val="20"/>
              </w:rPr>
              <w:t>Balance at beginning of year</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556</w:t>
            </w:r>
          </w:p>
        </w:tc>
        <w:tc>
          <w:tcPr>
            <w:tcW w:w="160"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arial" w:hAnsi="arial"/>
                <w:sz w:val="20"/>
              </w:rPr>
            </w:pPr>
            <w:r>
              <w:rPr>
                <w:rFonts w:ascii="arial" w:hAnsi="arial"/>
                <w:sz w:val="20"/>
              </w:rPr>
              <w:t>Amounts charged to cost of revenue</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1,215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1,320</w:t>
            </w:r>
          </w:p>
        </w:tc>
        <w:tc>
          <w:tcPr>
            <w:tcW w:w="160"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arial" w:hAnsi="arial"/>
                <w:sz w:val="20"/>
              </w:rPr>
            </w:pPr>
            <w:r>
              <w:rPr>
                <w:rFonts w:ascii="arial" w:hAnsi="arial"/>
                <w:sz w:val="20"/>
              </w:rPr>
              <w:t>Repairs and replacements</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(719</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(1,006</w:t>
            </w:r>
          </w:p>
        </w:tc>
        <w:tc>
          <w:tcPr>
            <w:tcW w:w="160"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99"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arial" w:hAnsi="arial"/>
                <w:sz w:val="20"/>
              </w:rPr>
            </w:pPr>
            <w:r>
              <w:rPr>
                <w:rFonts w:ascii="arial" w:hAnsi="arial"/>
                <w:sz w:val="20"/>
              </w:rPr>
              <w:t>Balance at end of year</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556</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9" w:type="dxa"/>
            <w:tcBorders/>
            <w:vAlign w:val="bottom"/>
          </w:tcPr>
          <w:p>
            <w:pPr>
              <w:pStyle w:val="TableContents"/>
              <w:bidi w:val="0"/>
              <w:spacing w:before="0" w:after="283"/>
              <w:jc w:val="right"/>
              <w:rPr/>
            </w:pPr>
            <w:r>
              <w:rPr/>
              <w:t>870</w:t>
            </w:r>
          </w:p>
        </w:tc>
        <w:tc>
          <w:tcPr>
            <w:tcW w:w="160" w:type="dxa"/>
            <w:tcBorders/>
            <w:vAlign w:val="bottom"/>
          </w:tcPr>
          <w:p>
            <w:pPr>
              <w:pStyle w:val="TableContents"/>
              <w:bidi w:val="0"/>
              <w:spacing w:before="0" w:after="283"/>
              <w:jc w:val="left"/>
              <w:rPr/>
            </w:pPr>
            <w:r>
              <w:rPr/>
              <w:t> </w:t>
            </w:r>
          </w:p>
        </w:tc>
      </w:tr>
      <w:tr>
        <w:trPr/>
        <w:tc>
          <w:tcPr>
            <w:tcW w:w="10045" w:type="dxa"/>
            <w:gridSpan w:val="8"/>
            <w:tcBorders/>
          </w:tcPr>
          <w:p>
            <w:pPr>
              <w:pStyle w:val="TableContents"/>
              <w:pBdr>
                <w:bottom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7. Financing arrangements </w:t>
      </w:r>
    </w:p>
    <w:p>
      <w:pPr>
        <w:pStyle w:val="TextBody"/>
        <w:bidi w:val="0"/>
        <w:spacing w:before="160" w:after="0"/>
        <w:jc w:val="left"/>
        <w:rPr>
          <w:rFonts w:ascii="arial" w:hAnsi="arial"/>
          <w:b/>
          <w:i/>
          <w:sz w:val="20"/>
        </w:rPr>
      </w:pPr>
      <w:r>
        <w:rPr>
          <w:rFonts w:ascii="arial" w:hAnsi="arial"/>
          <w:b/>
          <w:i/>
          <w:sz w:val="20"/>
        </w:rPr>
        <w:t xml:space="preserve">SVB Loan Agreement </w:t>
      </w:r>
    </w:p>
    <w:p>
      <w:pPr>
        <w:pStyle w:val="TextBody"/>
        <w:bidi w:val="0"/>
        <w:spacing w:before="160" w:after="0"/>
        <w:jc w:val="left"/>
        <w:rPr>
          <w:rFonts w:ascii="arial" w:hAnsi="arial"/>
          <w:sz w:val="20"/>
        </w:rPr>
      </w:pPr>
      <w:r>
        <w:rPr>
          <w:rFonts w:ascii="arial" w:hAnsi="arial"/>
          <w:sz w:val="20"/>
        </w:rPr>
        <w:t xml:space="preserve">On July 11, 2024 (the “Effective Date”), the Company entered into a loan and security agreement (the “Term Loan”) with SVB, that matures on March 1, 2029. The Term Loan originally provided borrowings up to an aggregate of $35.0 million through two tranches: Tranche A, up to $25.0 million, available through March 31, 2026, and Tranche B, up to $10.0 million, available until March 31, 2026, subject to achievement of certain revenue milestones. The agreement also permitted the Company, at SVB’s discretion, to request an additional Term Loan advance of up to $10.0 million. </w:t>
      </w:r>
    </w:p>
    <w:p>
      <w:pPr>
        <w:pStyle w:val="TextBody"/>
        <w:bidi w:val="0"/>
        <w:spacing w:before="160" w:after="0"/>
        <w:jc w:val="left"/>
        <w:rPr>
          <w:rFonts w:ascii="arial" w:hAnsi="arial"/>
          <w:sz w:val="20"/>
        </w:rPr>
      </w:pPr>
      <w:r>
        <w:rPr>
          <w:rFonts w:ascii="arial" w:hAnsi="arial"/>
          <w:sz w:val="20"/>
        </w:rPr>
        <w:t xml:space="preserve">In connection with the Term Loan, the Company issued a warrant to SVB to purchase 84,162 shares of Class B common stock at $3.34 per share (the “Initial Warrant”) exercisable immediately and expiring 10 years from the Effective Date, and may issue additional warrants to purchase up to 42,081 shares of Class B common stock upon future Tranche B drawdowns (the “Additional Warrant” and together with the “Initial Warrant”, the “Warrants”). The Company recorded legal expenses associated with the Term Loan and the fair value of the common stock warrant issued to the SVB totaling $0.2 million as debt issuance cost in other current assets and other assets—noncurrent in the consolidated balance sheets, with amortization recorded over the Tranche A draw period. </w:t>
      </w:r>
    </w:p>
    <w:p>
      <w:pPr>
        <w:pStyle w:val="TextBody"/>
        <w:bidi w:val="0"/>
        <w:spacing w:before="160" w:after="0"/>
        <w:jc w:val="left"/>
        <w:rPr>
          <w:rFonts w:ascii="arial" w:hAnsi="arial"/>
          <w:sz w:val="20"/>
        </w:rPr>
      </w:pPr>
      <w:r>
        <w:rPr>
          <w:rFonts w:ascii="arial" w:hAnsi="arial"/>
          <w:sz w:val="20"/>
        </w:rPr>
        <w:t xml:space="preserve">On September 19, 2025, the Company entered into an amendment to the SVB Term Loan (the “Amendment”), increasing total borrowing capacity to up to $75.0 million, consisting of a $10.0 million revolving line of credit and up to three tranches of term loan borrowings: Tranche 1, up to $35.0 million available through June 30, 2027, Tranche 2, up to $15.0 million available through June 30, 2027 if the Company has achieved at least $40.0 million in revenue on a trailing six month basis on or prior to December 31, 2026 (“the Tranche 2 Revenue Milestone”), and an uncommitted accordion of $15.0 million the Company may request through June 30, 2028 subject to SVB’s discretion. These borrowings on the Term Loan are also conditional on maintaining ongoing covenant compliance. Borrowings on the line of credit are also subject to a borrowing base limitation of 85% of the Company’s eligible accounts receivable. Upon signing the Amendment, the Company borrowed $10.0 million under the loan facility as required and issued a warrant to SVB to purchase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28,685 shares of the Company’s Class B common stock, and may issue additional warrants to purchase up to 28,685 shares of Class B common stock upon future Tranche 1 and 2 drawdowns. Debt issuance costs and discounts including the fair value of the newly issued warrants of $0.3 million were deferred and are amortized over the remaining term until maturity. </w:t>
      </w:r>
    </w:p>
    <w:p>
      <w:pPr>
        <w:pStyle w:val="TextBody"/>
        <w:bidi w:val="0"/>
        <w:spacing w:before="160" w:after="0"/>
        <w:jc w:val="left"/>
        <w:rPr>
          <w:rFonts w:ascii="arial" w:hAnsi="arial"/>
          <w:sz w:val="20"/>
        </w:rPr>
      </w:pPr>
      <w:r>
        <w:rPr>
          <w:rFonts w:ascii="arial" w:hAnsi="arial"/>
          <w:sz w:val="20"/>
        </w:rPr>
        <w:t xml:space="preserve">Following the Amendment, term loan borrowings mature on June 1, 2029, or June 1, 2030 if the interest-only period is extended, and the revolving line matures on September 19, 2028. The outstanding principal amount of any Term Loan advance accrues interest at a floating rate per annum equal to the greater of (A) 6.00% and (B) the Prime Rate minus 1%. The period of time commencing on the Effective Date and ending on June 30, 2027 is considered the interest-only period; provided, however, upon achieving the Tranche 2 Revenue Milestone and maintaining compliance with financial covenants, the interest-only period shall automatically be extended through June 30, 2028. Upon conclusion of the interest-only period, the Company must repay each Term Loan advance in monthly installments over the remaining term of the loan, plus (ii) monthly payments of accrued interest. There is a fee due upon prepayment (whether voluntary or otherwise) of the Term Loan advances equal to: a) 3.0% of the aggregate outstanding principal amount of the Term Loan advances for prepayment within 12 months from the Effective Date, and b) 2.0% of the aggregate outstanding principal amount of the Term Loan advances if such prepayment within 12—24 months from the Effective Date. Notwithstanding the foregoing, the prepayment fee shall be waived by SVB if the Term Loan advances are refinanced using the proceeds of a new facility provided by SVB. In addition to the principal amount, accrued interest, and, if applicable, any prepayment fee, the Company is required to make a final payment equal to 6.0% of the original aggregate principal amount of the Term Loan advances which is due at the earliest to occur of the maturity date or repayment of the Term Loan advances in full. </w:t>
      </w:r>
    </w:p>
    <w:p>
      <w:pPr>
        <w:pStyle w:val="TextBody"/>
        <w:bidi w:val="0"/>
        <w:spacing w:before="160" w:after="0"/>
        <w:jc w:val="left"/>
        <w:rPr>
          <w:rFonts w:ascii="arial" w:hAnsi="arial"/>
          <w:sz w:val="20"/>
        </w:rPr>
      </w:pPr>
      <w:r>
        <w:rPr>
          <w:rFonts w:ascii="arial" w:hAnsi="arial"/>
          <w:sz w:val="20"/>
        </w:rPr>
        <w:t xml:space="preserve">The Term Loan is secured by substantially all of the Company’s assets, excluding intellectual property. In addition the Term Loan is subject to customary financial and nonfinancial covenants. As of December 31, 2025, the Company was in compliance with all covenants other than a covenant to maintain a minimum proportion of deposits with SVB and obtained a waiver from SVB for such covenant for that period. The Company has since regained compliance with this covenant. As of December 31, 2025, the Company had $10.0 million in outstanding borrowings under the Amendment, and the effective interest rate was 8.84%. </w:t>
      </w:r>
    </w:p>
    <w:p>
      <w:pPr>
        <w:pStyle w:val="TextBody"/>
        <w:bidi w:val="0"/>
        <w:spacing w:before="160" w:after="0"/>
        <w:jc w:val="left"/>
        <w:rPr>
          <w:rFonts w:ascii="arial" w:hAnsi="arial"/>
          <w:sz w:val="20"/>
        </w:rPr>
      </w:pPr>
      <w:r>
        <w:rPr>
          <w:rFonts w:ascii="arial" w:hAnsi="arial"/>
          <w:sz w:val="20"/>
        </w:rPr>
        <w:t xml:space="preserve">The following table summarizes future maturities of the Term Loan as of December 31,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6"/>
        <w:gridCol w:w="336"/>
        <w:gridCol w:w="140"/>
        <w:gridCol w:w="680"/>
        <w:gridCol w:w="63"/>
      </w:tblGrid>
      <w:tr>
        <w:trPr/>
        <w:tc>
          <w:tcPr>
            <w:tcW w:w="898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arial" w:hAnsi="arial"/>
                <w:sz w:val="20"/>
              </w:rPr>
            </w:pPr>
            <w:r>
              <w:rPr>
                <w:rFonts w:ascii="arial" w:hAnsi="arial"/>
                <w:sz w:val="20"/>
              </w:rPr>
              <w:t>2026</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arial" w:hAnsi="arial"/>
                <w:sz w:val="20"/>
              </w:rPr>
            </w:pPr>
            <w:r>
              <w:rPr>
                <w:rFonts w:ascii="arial" w:hAnsi="arial"/>
                <w:sz w:val="20"/>
              </w:rPr>
              <w:t>2027</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2,500</w:t>
            </w:r>
          </w:p>
        </w:tc>
        <w:tc>
          <w:tcPr>
            <w:tcW w:w="63"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arial" w:hAnsi="arial"/>
                <w:sz w:val="20"/>
              </w:rPr>
            </w:pPr>
            <w:r>
              <w:rPr>
                <w:rFonts w:ascii="arial" w:hAnsi="arial"/>
                <w:sz w:val="20"/>
              </w:rPr>
              <w:t>2028</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5,000</w:t>
            </w:r>
          </w:p>
        </w:tc>
        <w:tc>
          <w:tcPr>
            <w:tcW w:w="63" w:type="dxa"/>
            <w:tcBorders/>
            <w:vAlign w:val="bottom"/>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arial" w:hAnsi="arial"/>
                <w:sz w:val="20"/>
              </w:rPr>
            </w:pPr>
            <w:r>
              <w:rPr>
                <w:rFonts w:ascii="arial" w:hAnsi="arial"/>
                <w:sz w:val="20"/>
              </w:rPr>
              <w:t>2029</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2,500</w:t>
            </w:r>
          </w:p>
        </w:tc>
        <w:tc>
          <w:tcPr>
            <w:tcW w:w="63" w:type="dxa"/>
            <w:tcBorders/>
            <w:shd w:fill="CCEEFF" w:val="clear"/>
            <w:vAlign w:val="bottom"/>
          </w:tcPr>
          <w:p>
            <w:pPr>
              <w:pStyle w:val="TableContents"/>
              <w:bidi w:val="0"/>
              <w:spacing w:before="0" w:after="283"/>
              <w:jc w:val="left"/>
              <w:rPr/>
            </w:pPr>
            <w:r>
              <w:rPr/>
              <w:t> </w:t>
            </w:r>
          </w:p>
        </w:tc>
      </w:tr>
      <w:tr>
        <w:trPr/>
        <w:tc>
          <w:tcPr>
            <w:tcW w:w="898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arial" w:hAnsi="arial"/>
                <w:sz w:val="20"/>
              </w:rPr>
            </w:pPr>
            <w:r>
              <w:rPr>
                <w:rFonts w:ascii="arial" w:hAnsi="arial"/>
                <w:sz w:val="20"/>
              </w:rPr>
              <w:t>Total principal payments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10,000</w:t>
            </w:r>
          </w:p>
        </w:tc>
        <w:tc>
          <w:tcPr>
            <w:tcW w:w="63" w:type="dxa"/>
            <w:tcBorders/>
            <w:vAlign w:val="bottom"/>
          </w:tcPr>
          <w:p>
            <w:pPr>
              <w:pStyle w:val="TableContents"/>
              <w:bidi w:val="0"/>
              <w:spacing w:before="0" w:after="283"/>
              <w:jc w:val="left"/>
              <w:rPr/>
            </w:pPr>
            <w:r>
              <w:rPr/>
              <w:t> </w:t>
            </w:r>
          </w:p>
        </w:tc>
      </w:tr>
      <w:tr>
        <w:trPr/>
        <w:tc>
          <w:tcPr>
            <w:tcW w:w="10142" w:type="dxa"/>
            <w:gridSpan w:val="4"/>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Hercules Loan and Security Agreement </w:t>
      </w:r>
    </w:p>
    <w:p>
      <w:pPr>
        <w:pStyle w:val="TextBody"/>
        <w:bidi w:val="0"/>
        <w:spacing w:before="160" w:after="0"/>
        <w:jc w:val="left"/>
        <w:rPr>
          <w:rFonts w:ascii="arial" w:hAnsi="arial"/>
          <w:sz w:val="20"/>
        </w:rPr>
      </w:pPr>
      <w:r>
        <w:rPr>
          <w:rFonts w:ascii="arial" w:hAnsi="arial"/>
          <w:sz w:val="20"/>
        </w:rPr>
        <w:t xml:space="preserve">In June 2022, the Company entered into a loan and security agreement (the “Hercules Loan”) with Hercules Capital, Inc. (“Hercules”) which provided for a $40 million term loan in three tranches of $15 million, $15 million and $10 million, respectively. The first tranche of $15 million was available to the Company on or before December 15, 2023. The second and third tranches were contingently available to the Company through June 15, 2024, subject to achievement of certain equity and performance milestones, or in the case of the third tranche,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based upon the lender’s future approval to support strategic initiatives. The interest-only period ran through the first 24 months after the closing of the loan and could be extended to 36 months upon the achievement of certain equity milestones by the Company. The Hercules Loan would mature in June 2026. Hercules had a security interest in all of the Company’s tangible and intangible personal property. The per annum interest rate of the loan was equal to the greater of either (i) 6.5% (the “Base Rate”) or (ii) the Base Rate plus the prime rate as reported in The Wall Street Journal minus 3.50%. Hercules also charged a 1% paid-in-kind interest that will be due on the earlier date of payoff or maturity. There was an end-of-term charge of 5.95% of the amount funded due on the earlier date of payoff or maturity, accrued over the contractual term of the Hercules Loan. The Company also issued a warrant to Hercules to purchase 75,567 shares of convertible preferred stock equal to 1.5% of the amount funded divided by the exercise price equal to the Series C Preferred Stock price per share. The Company recorded a debt facility charge, legal expenses associated with the closing of the Hercules Loan and the fair value of the preferred stock warrant issuable to the lender totaling $0.2 million as debt issuance cost, which was amortized over the term of the Hercules Loan. In December 2022, the Company borrowed $5.0 million from the Hercules Loan. In December 2023, the Company borrowed another $10.0 million from the Hercules Loan and incurred additional debt issuance cost of $0.1 million, which was amortized over the remaining term of the Hercules Loan. </w:t>
      </w:r>
    </w:p>
    <w:p>
      <w:pPr>
        <w:pStyle w:val="TextBody"/>
        <w:bidi w:val="0"/>
        <w:spacing w:before="160" w:after="0"/>
        <w:jc w:val="left"/>
        <w:rPr>
          <w:rFonts w:ascii="arial" w:hAnsi="arial"/>
          <w:sz w:val="20"/>
        </w:rPr>
      </w:pPr>
      <w:r>
        <w:rPr>
          <w:rFonts w:ascii="arial" w:hAnsi="arial"/>
          <w:sz w:val="20"/>
        </w:rPr>
        <w:t xml:space="preserve">In June 2024, the Company repaid the Hercules Loan in the aggregate amount of $15.6 million, including $14.5 million unamortized principal balance, $0.1 million prorated interests and $1.0 million of certain termination fees and paid-in-kind interests specified in the original loan agreement. The $1.0 million was recognized as a loss on the extinguishment of debt and recorded as interest expense in the consolidated statement of operations for the year ended December 31, 2024. </w:t>
      </w:r>
    </w:p>
    <w:p>
      <w:pPr>
        <w:pStyle w:val="TextBody"/>
        <w:bidi w:val="0"/>
        <w:spacing w:before="320" w:after="0"/>
        <w:jc w:val="left"/>
        <w:rPr>
          <w:rFonts w:ascii="arial" w:hAnsi="arial"/>
          <w:b/>
          <w:sz w:val="24"/>
        </w:rPr>
      </w:pPr>
      <w:r>
        <w:rPr>
          <w:rFonts w:ascii="arial" w:hAnsi="arial"/>
          <w:b/>
          <w:sz w:val="24"/>
        </w:rPr>
        <w:t xml:space="preserve">8. Convertible preferred stock and stockholders’ deficit </w:t>
      </w:r>
    </w:p>
    <w:p>
      <w:pPr>
        <w:pStyle w:val="TextBody"/>
        <w:bidi w:val="0"/>
        <w:spacing w:before="160" w:after="0"/>
        <w:jc w:val="left"/>
        <w:rPr>
          <w:rFonts w:ascii="arial" w:hAnsi="arial"/>
          <w:sz w:val="20"/>
        </w:rPr>
      </w:pPr>
      <w:r>
        <w:rPr>
          <w:rFonts w:ascii="arial" w:hAnsi="arial"/>
          <w:sz w:val="20"/>
        </w:rPr>
        <w:t xml:space="preserve">The Company has four classes of stock, respectively, Class A common stock, Class B common stock, Founders Preferred Stock, and Preferred Stock. Series A-1, Series A-2, Series A-3, Series A-4, Series B, Series B-Plus and Series C convertible preferred stock are collectively referred to as Preferred Stock. Class A and Class B common stock are collectively referred to as Common Stock. Founders Preferred Stock and Preferred Stock are collectively referred to as Convertible Preferred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 of December 31, 2024 and 2025, the Company’s Convertible Preferred Stock consisted of the following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9"/>
        <w:gridCol w:w="185"/>
        <w:gridCol w:w="60"/>
        <w:gridCol w:w="1197"/>
        <w:gridCol w:w="60"/>
        <w:gridCol w:w="185"/>
        <w:gridCol w:w="63"/>
        <w:gridCol w:w="1287"/>
        <w:gridCol w:w="60"/>
        <w:gridCol w:w="185"/>
        <w:gridCol w:w="151"/>
        <w:gridCol w:w="1016"/>
        <w:gridCol w:w="60"/>
        <w:gridCol w:w="185"/>
        <w:gridCol w:w="153"/>
        <w:gridCol w:w="894"/>
        <w:gridCol w:w="60"/>
        <w:gridCol w:w="185"/>
        <w:gridCol w:w="181"/>
        <w:gridCol w:w="1152"/>
        <w:gridCol w:w="67"/>
      </w:tblGrid>
      <w:tr>
        <w:trPr/>
        <w:tc>
          <w:tcPr>
            <w:tcW w:w="281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819" w:type="dxa"/>
            <w:tcBorders>
              <w:top w:val="single" w:sz="16" w:space="0" w:color="000000"/>
            </w:tcBorders>
            <w:tcMar>
              <w:top w:w="28" w:type="dxa"/>
            </w:tcMar>
            <w:vAlign w:val="center"/>
          </w:tcPr>
          <w:p>
            <w:pPr>
              <w:pStyle w:val="TableContents"/>
              <w:bidi w:val="0"/>
              <w:spacing w:before="0" w:after="283"/>
              <w:jc w:val="left"/>
              <w:rPr/>
            </w:pPr>
            <w:r>
              <w:rPr/>
              <w:t> </w:t>
            </w:r>
          </w:p>
        </w:tc>
        <w:tc>
          <w:tcPr>
            <w:tcW w:w="7386" w:type="dxa"/>
            <w:gridSpan w:val="20"/>
            <w:tcBorders>
              <w:top w:val="single" w:sz="16" w:space="0" w:color="000000"/>
            </w:tcBorders>
            <w:tcMar>
              <w:top w:w="28" w:type="dxa"/>
            </w:tcMar>
            <w:vAlign w:val="center"/>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134" w:type="dxa"/>
            <w:gridSpan w:val="18"/>
            <w:tcBorders>
              <w:bottom w:val="single" w:sz="2" w:space="0" w:color="000000"/>
            </w:tcBorders>
            <w:tcMar>
              <w:bottom w:w="28" w:type="dxa"/>
            </w:tcMar>
            <w:vAlign w:val="bottom"/>
          </w:tcPr>
          <w:p>
            <w:pPr>
              <w:pStyle w:val="TableContents"/>
              <w:bidi w:val="0"/>
              <w:spacing w:before="0" w:after="283"/>
              <w:jc w:val="right"/>
              <w:rPr>
                <w:b/>
              </w:rPr>
            </w:pPr>
            <w:r>
              <w:rPr>
                <w:b/>
              </w:rPr>
              <w:t>December 31, 2024 and 2025</w:t>
            </w:r>
          </w:p>
        </w:tc>
        <w:tc>
          <w:tcPr>
            <w:tcW w:w="67" w:type="dxa"/>
            <w:tcBorders/>
            <w:vAlign w:val="bottom"/>
          </w:tcPr>
          <w:p>
            <w:pPr>
              <w:pStyle w:val="TableContents"/>
              <w:bidi w:val="0"/>
              <w:spacing w:before="0" w:after="283"/>
              <w:jc w:val="left"/>
              <w:rPr/>
            </w:pPr>
            <w:r>
              <w:rPr/>
              <w:t> </w:t>
            </w:r>
          </w:p>
        </w:tc>
      </w:tr>
      <w:tr>
        <w:trPr/>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257"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authorized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350" w:type="dxa"/>
            <w:gridSpan w:val="2"/>
            <w:tcBorders>
              <w:bottom w:val="single" w:sz="2" w:space="0" w:color="000000"/>
            </w:tcBorders>
            <w:tcMar>
              <w:bottom w:w="28" w:type="dxa"/>
            </w:tcMar>
            <w:vAlign w:val="bottom"/>
          </w:tcPr>
          <w:p>
            <w:pPr>
              <w:pStyle w:val="TableContents"/>
              <w:bidi w:val="0"/>
              <w:spacing w:before="0" w:after="283"/>
              <w:jc w:val="right"/>
              <w:rPr>
                <w:b/>
              </w:rPr>
            </w:pPr>
            <w:r>
              <w:rPr>
                <w:b/>
              </w:rPr>
              <w:t>Issued and</w:t>
              <w:br/>
              <w:t>outstanding</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1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Issue price</w:t>
              <w:br/>
              <w:t>per 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047" w:type="dxa"/>
            <w:gridSpan w:val="2"/>
            <w:tcBorders>
              <w:bottom w:val="single" w:sz="2" w:space="0" w:color="000000"/>
            </w:tcBorders>
            <w:tcMar>
              <w:bottom w:w="28" w:type="dxa"/>
            </w:tcMar>
            <w:vAlign w:val="bottom"/>
          </w:tcPr>
          <w:p>
            <w:pPr>
              <w:pStyle w:val="TableContents"/>
              <w:bidi w:val="0"/>
              <w:spacing w:before="0" w:after="283"/>
              <w:jc w:val="right"/>
              <w:rPr>
                <w:b/>
              </w:rPr>
            </w:pPr>
            <w:r>
              <w:rPr>
                <w:b/>
              </w:rPr>
              <w:t>Carrying</w:t>
              <w:b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gridSpan w:val="2"/>
            <w:tcBorders>
              <w:bottom w:val="single" w:sz="2" w:space="0" w:color="000000"/>
            </w:tcBorders>
            <w:tcMar>
              <w:bottom w:w="28" w:type="dxa"/>
            </w:tcMar>
            <w:vAlign w:val="bottom"/>
          </w:tcPr>
          <w:p>
            <w:pPr>
              <w:pStyle w:val="TableContents"/>
              <w:bidi w:val="0"/>
              <w:spacing w:before="0" w:after="283"/>
              <w:jc w:val="right"/>
              <w:rPr>
                <w:b/>
              </w:rPr>
            </w:pPr>
            <w:r>
              <w:rPr>
                <w:b/>
              </w:rPr>
              <w:t>Liquidation</w:t>
              <w:br/>
              <w:t>preference</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2819" w:type="dxa"/>
            <w:tcBorders/>
            <w:vAlign w:val="center"/>
          </w:tcPr>
          <w:p>
            <w:pPr>
              <w:pStyle w:val="TableContents"/>
              <w:bidi w:val="0"/>
              <w:spacing w:before="0" w:after="283"/>
              <w:jc w:val="left"/>
              <w:rPr>
                <w:sz w:val="4"/>
                <w:szCs w:val="4"/>
              </w:rPr>
            </w:pPr>
            <w:r>
              <w:rPr>
                <w:sz w:val="4"/>
                <w:szCs w:val="4"/>
              </w:rPr>
            </w:r>
          </w:p>
        </w:tc>
        <w:tc>
          <w:tcPr>
            <w:tcW w:w="1502"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c>
          <w:tcPr>
            <w:tcW w:w="1292"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Preferred Stock</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119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tcPr>
          <w:p>
            <w:pPr>
              <w:pStyle w:val="TableContents"/>
              <w:bidi w:val="0"/>
              <w:spacing w:before="0" w:after="283"/>
              <w:jc w:val="left"/>
              <w:rPr>
                <w:sz w:val="4"/>
                <w:szCs w:val="4"/>
              </w:rPr>
            </w:pPr>
            <w:r>
              <w:rPr>
                <w:sz w:val="4"/>
                <w:szCs w:val="4"/>
              </w:rPr>
            </w:r>
          </w:p>
        </w:tc>
        <w:tc>
          <w:tcPr>
            <w:tcW w:w="12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tcPr>
          <w:p>
            <w:pPr>
              <w:pStyle w:val="TableContents"/>
              <w:bidi w:val="0"/>
              <w:spacing w:before="0" w:after="283"/>
              <w:jc w:val="left"/>
              <w:rPr>
                <w:sz w:val="4"/>
                <w:szCs w:val="4"/>
              </w:rPr>
            </w:pPr>
            <w:r>
              <w:rPr>
                <w:sz w:val="4"/>
                <w:szCs w:val="4"/>
              </w:rPr>
            </w:r>
          </w:p>
        </w:tc>
        <w:tc>
          <w:tcPr>
            <w:tcW w:w="101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8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tcPr>
          <w:p>
            <w:pPr>
              <w:pStyle w:val="TableContents"/>
              <w:bidi w:val="0"/>
              <w:spacing w:before="0" w:after="283"/>
              <w:jc w:val="left"/>
              <w:rPr>
                <w:sz w:val="4"/>
                <w:szCs w:val="4"/>
              </w:rPr>
            </w:pPr>
            <w:r>
              <w:rPr>
                <w:sz w:val="4"/>
                <w:szCs w:val="4"/>
              </w:rPr>
            </w:r>
          </w:p>
        </w:tc>
        <w:tc>
          <w:tcPr>
            <w:tcW w:w="1152"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A-1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2,113,922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2,113,922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0.851496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2,250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52" w:type="dxa"/>
            <w:tcBorders/>
            <w:vAlign w:val="bottom"/>
          </w:tcPr>
          <w:p>
            <w:pPr>
              <w:pStyle w:val="TableContents"/>
              <w:bidi w:val="0"/>
              <w:spacing w:before="0" w:after="283"/>
              <w:jc w:val="right"/>
              <w:rPr/>
            </w:pPr>
            <w:r>
              <w:rPr/>
              <w:t>1,800</w:t>
            </w:r>
          </w:p>
        </w:tc>
        <w:tc>
          <w:tcPr>
            <w:tcW w:w="67"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Series A-2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521,955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521,955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0.957933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556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500</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A-3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13,153,317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13,153,317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1.064370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13,853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14,000</w:t>
            </w:r>
          </w:p>
        </w:tc>
        <w:tc>
          <w:tcPr>
            <w:tcW w:w="67"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Series A-4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11,786,788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11,786,788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1.187770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14,000</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B</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19,710,738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19,710,738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4.058700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68,791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80,000</w:t>
            </w:r>
          </w:p>
        </w:tc>
        <w:tc>
          <w:tcPr>
            <w:tcW w:w="67"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Series B-Plus</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2,053,202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2,053,202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4.870400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8,069</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10,000</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C</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43,079,756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43,004,188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2.977500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127,477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128,045</w:t>
            </w:r>
          </w:p>
        </w:tc>
        <w:tc>
          <w:tcPr>
            <w:tcW w:w="67"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Total Preferred Stock</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92,419,678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92,344,110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234,996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248,345</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Founders Preferred Stock</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1,182,000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488,831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0.000100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Total Convertible Preferred Stock</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93,601,678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92,832,941</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234,996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248,345</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0138" w:type="dxa"/>
            <w:gridSpan w:val="20"/>
            <w:tcBorders/>
          </w:tcPr>
          <w:p>
            <w:pPr>
              <w:pStyle w:val="TableContents"/>
              <w:pBdr>
                <w:bottom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December 31, 2024 and 2025, the Company had 22,458,000 shares of Class A common stock authorized and 9,287,825 shares of Class A common stock issued and outstanding and 142,100,000 and 145,887,259 shares of Class B common stock authorized, and 1,802,473 and 2,759,760 shares of Class B common stock issued and outstanding, respectively. </w:t>
      </w:r>
    </w:p>
    <w:p>
      <w:pPr>
        <w:pStyle w:val="TextBody"/>
        <w:bidi w:val="0"/>
        <w:spacing w:before="160" w:after="0"/>
        <w:jc w:val="left"/>
        <w:rPr>
          <w:rFonts w:ascii="arial" w:hAnsi="arial"/>
          <w:sz w:val="20"/>
        </w:rPr>
      </w:pPr>
      <w:r>
        <w:rPr>
          <w:rFonts w:ascii="arial" w:hAnsi="arial"/>
          <w:sz w:val="20"/>
        </w:rPr>
        <w:t xml:space="preserve">In February 2024, the Company closed its Series C convertible preferred stock financing and issued 43,004,188 shares of Series C convertible preferred stock at $2.9775 per share for net proceeds of $127.5 million. </w:t>
      </w:r>
    </w:p>
    <w:p>
      <w:pPr>
        <w:pStyle w:val="TextBody"/>
        <w:bidi w:val="0"/>
        <w:spacing w:before="160" w:after="0"/>
        <w:jc w:val="left"/>
        <w:rPr>
          <w:rFonts w:ascii="arial" w:hAnsi="arial"/>
          <w:sz w:val="20"/>
        </w:rPr>
      </w:pPr>
      <w:r>
        <w:rPr>
          <w:rFonts w:ascii="arial" w:hAnsi="arial"/>
          <w:sz w:val="20"/>
        </w:rPr>
        <w:t xml:space="preserve">The terms of the Company’s Convertible Preferred Stock are summarized as follows: </w:t>
      </w:r>
    </w:p>
    <w:p>
      <w:pPr>
        <w:pStyle w:val="TextBody"/>
        <w:bidi w:val="0"/>
        <w:spacing w:before="160" w:after="0"/>
        <w:jc w:val="left"/>
        <w:rPr>
          <w:rFonts w:ascii="arial" w:hAnsi="arial"/>
          <w:b/>
          <w:i/>
          <w:sz w:val="20"/>
        </w:rPr>
      </w:pPr>
      <w:r>
        <w:rPr>
          <w:rFonts w:ascii="arial" w:hAnsi="arial"/>
          <w:b/>
          <w:i/>
          <w:sz w:val="20"/>
        </w:rPr>
        <w:t xml:space="preserve">Conversion rights </w:t>
      </w:r>
    </w:p>
    <w:p>
      <w:pPr>
        <w:pStyle w:val="TextBody"/>
        <w:bidi w:val="0"/>
        <w:spacing w:before="160" w:after="0"/>
        <w:jc w:val="left"/>
        <w:rPr>
          <w:rFonts w:ascii="arial" w:hAnsi="arial"/>
          <w:sz w:val="20"/>
        </w:rPr>
      </w:pPr>
      <w:r>
        <w:rPr>
          <w:rFonts w:ascii="arial" w:hAnsi="arial"/>
          <w:i/>
          <w:sz w:val="20"/>
        </w:rPr>
        <w:t>Founders preferred stock</w:t>
      </w:r>
      <w:r>
        <w:rPr>
          <w:rFonts w:ascii="arial" w:hAnsi="arial"/>
          <w:sz w:val="20"/>
        </w:rPr>
        <w:t xml:space="preserve">—Each share of Founders Preferred Stock is convertible, at the option of the holder, into shares of Class B common stock determined by dividing $0.10 by the Founders Preferred Conversion Price in effect at the time of conversion. The initial Founders Preferred Conversion Price is $0.10 per share. As of December 31, 2025, each share of Founders Preferred Stock is convertible into Class B common stock on a one-for-one basis. </w:t>
      </w:r>
    </w:p>
    <w:p>
      <w:pPr>
        <w:pStyle w:val="TextBody"/>
        <w:bidi w:val="0"/>
        <w:spacing w:before="160" w:after="0"/>
        <w:jc w:val="left"/>
        <w:rPr>
          <w:rFonts w:ascii="arial" w:hAnsi="arial"/>
          <w:sz w:val="20"/>
        </w:rPr>
      </w:pPr>
      <w:r>
        <w:rPr>
          <w:rFonts w:ascii="arial" w:hAnsi="arial"/>
          <w:sz w:val="20"/>
        </w:rPr>
        <w:t xml:space="preserve">If holders of Founders Preferred Stock sell shares of Founders Preferred Stock in connection with a qualifying issuance of a new series or class of preferred stock, each share of Founders Preferred Stock sold will automatically convert into such newly issued series or class of preferred stock (“Subsequent Preferred Stock”). A qualifying issuance must result in the Company receiving at least $60.0 million in proceeds at a price per share equal to at least twice the Series A-2 issue price. The conversion ratio between Founders Preferred Stock and Subsequent Preferred Stock is determined so that the shares of Subsequent Preferred Stock issued upon conversion are convertible into an equivalent number of Class B common stock as the original Founders Preferred Stock shares were prior to conversion.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Each share of Founders Preferred Stock shall automatically be converted into shares of Class B Common Stock at the Founders Preferred Conversion Price at the time in effect for such share immediately upon the earlier of the closing of (i) the Company’s sale of its Class B Common Stock in a firm commitment underwritten public offering pursuant to a registration statement on Form S-1 under the Securities Act of 1933, (ii) the date, or the occurrence of an event, specified by vote or written consent or agreement of the holders of a majority of the then outstanding shares of Founders Preferred Stock voting together as a single class, or (iii) the automatic conversion of all Preferred Stock to Class B Common Stock. </w:t>
      </w:r>
    </w:p>
    <w:p>
      <w:pPr>
        <w:pStyle w:val="TextBody"/>
        <w:bidi w:val="0"/>
        <w:spacing w:before="160" w:after="0"/>
        <w:jc w:val="left"/>
        <w:rPr>
          <w:rFonts w:ascii="arial" w:hAnsi="arial"/>
          <w:sz w:val="20"/>
        </w:rPr>
      </w:pPr>
      <w:r>
        <w:rPr>
          <w:rFonts w:ascii="arial" w:hAnsi="arial"/>
          <w:i/>
          <w:sz w:val="20"/>
        </w:rPr>
        <w:t>Preferred stock</w:t>
      </w:r>
      <w:r>
        <w:rPr>
          <w:rFonts w:ascii="arial" w:hAnsi="arial"/>
          <w:sz w:val="20"/>
        </w:rPr>
        <w:t xml:space="preserve">—Each share of Preferred Stock is convertible, at the option of the holder, into shares of Class B common stock determined by dividing the applicable original issue price by the applicable conversion price in effect at the time of conversion. Prior to the issuance of Series C convertible preferred stock, each share of Series A-1, Series A-2, Series A-3, Series A-4, Series B and Series B-Plus preferred stock was convertible into 0.4136 shares of Class B common stock. Upon the issuance of Series C convertible preferred stock, the conversion ratio of Series B and Series B-Plus was changed to 0.4403 and 0.4658, respectively, and the conversion ratio of the Series C convertible preferred stock was 0.4136. </w:t>
      </w:r>
    </w:p>
    <w:p>
      <w:pPr>
        <w:pStyle w:val="TextBody"/>
        <w:bidi w:val="0"/>
        <w:spacing w:before="160" w:after="0"/>
        <w:jc w:val="left"/>
        <w:rPr>
          <w:rFonts w:ascii="arial" w:hAnsi="arial"/>
          <w:sz w:val="20"/>
        </w:rPr>
      </w:pPr>
      <w:r>
        <w:rPr>
          <w:rFonts w:ascii="arial" w:hAnsi="arial"/>
          <w:sz w:val="20"/>
        </w:rPr>
        <w:t xml:space="preserve">Each share of Preferred Stock shall automatically be converted into shares of Class B common stock at the Conversion Rate at the time in effect for such series of Preferred Stock immediately upon the earlier of (i) the closing of the Company’s sale of its Class B Common Stock to the public at a price of at least two times (2.0x) the Original Issue Price of the Series C Preferred Stock, as appropriately adjusted for any stock split, dividend, combination or other recapitalization (“as adjusted”), in a firm commitment underwritten public offering pursuant to a registration statement on Form S-1 under the Securities Act of 1933, as amended (the “Securities Act”), that results in at least $50.0 million in gross proceeds and in connection with such offering the shares of Class B Common Stock are listed for trading on the New York Stock Exchange or the Nasdaq Stock Market or another exchange or marketplace approved the Board of Directors (including the affirmative vote of a majority of the Preferred Directors) (a “Qualified Public Offering”), or (ii) the date, or the occurrence of an event, specified by vote or written consent or agreement of the holders of 60% of the then outstanding shares of Series A-1, Series A-2, Series A-3, Series A-4, Series B, Series B-Plus and Series C preferred stock (voting together as a single class and not as separate series or class, and on an as-converted basis) (collectively, the “Preferred Majority”). </w:t>
      </w:r>
    </w:p>
    <w:p>
      <w:pPr>
        <w:pStyle w:val="TextBody"/>
        <w:bidi w:val="0"/>
        <w:spacing w:before="160" w:after="0"/>
        <w:jc w:val="left"/>
        <w:rPr>
          <w:rFonts w:ascii="arial" w:hAnsi="arial"/>
          <w:b/>
          <w:i/>
          <w:sz w:val="20"/>
        </w:rPr>
      </w:pPr>
      <w:r>
        <w:rPr>
          <w:rFonts w:ascii="arial" w:hAnsi="arial"/>
          <w:b/>
          <w:i/>
          <w:sz w:val="20"/>
        </w:rPr>
        <w:t xml:space="preserve">Dividend rights </w:t>
      </w:r>
    </w:p>
    <w:p>
      <w:pPr>
        <w:pStyle w:val="TextBody"/>
        <w:bidi w:val="0"/>
        <w:spacing w:before="160" w:after="0"/>
        <w:jc w:val="left"/>
        <w:rPr>
          <w:rFonts w:ascii="arial" w:hAnsi="arial"/>
          <w:sz w:val="20"/>
        </w:rPr>
      </w:pPr>
      <w:r>
        <w:rPr>
          <w:rFonts w:ascii="arial" w:hAnsi="arial"/>
          <w:sz w:val="20"/>
        </w:rPr>
        <w:t xml:space="preserve">The holders of Convertible Preferred Stock are entitled to receive dividends when, as if approved and declared by the Board of Directors. The holders of Preferred Stock then outstanding receive full payment of such dividends prior and in preference to any payment of dividends on the Founders Preferred Stock or Common Stock. After payment of these dividends to holders of preferred stock, any additional dividends will be distributed pro rata amongst the holders of preferred stock and common stock, on an as-if converted to common stock basis.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Voting rights </w:t>
      </w:r>
    </w:p>
    <w:p>
      <w:pPr>
        <w:pStyle w:val="TextBody"/>
        <w:bidi w:val="0"/>
        <w:spacing w:before="160" w:after="0"/>
        <w:jc w:val="left"/>
        <w:rPr>
          <w:rFonts w:ascii="arial" w:hAnsi="arial"/>
          <w:sz w:val="20"/>
        </w:rPr>
      </w:pPr>
      <w:r>
        <w:rPr>
          <w:rFonts w:ascii="arial" w:hAnsi="arial"/>
          <w:i/>
          <w:sz w:val="20"/>
        </w:rPr>
        <w:t>Common stock</w:t>
      </w:r>
      <w:r>
        <w:rPr>
          <w:rFonts w:ascii="arial" w:hAnsi="arial"/>
          <w:sz w:val="20"/>
        </w:rPr>
        <w:t xml:space="preserve">—Each share of Class A common stock entitles the holder to one vote per share, and each share of Class B common stock entitles the holder to one vote per share. </w:t>
      </w:r>
    </w:p>
    <w:p>
      <w:pPr>
        <w:pStyle w:val="TextBody"/>
        <w:bidi w:val="0"/>
        <w:spacing w:before="160" w:after="0"/>
        <w:jc w:val="left"/>
        <w:rPr>
          <w:rFonts w:ascii="arial" w:hAnsi="arial"/>
          <w:sz w:val="20"/>
        </w:rPr>
      </w:pPr>
      <w:r>
        <w:rPr>
          <w:rFonts w:ascii="arial" w:hAnsi="arial"/>
          <w:i/>
          <w:sz w:val="20"/>
        </w:rPr>
        <w:t>Founders preferred stock</w:t>
      </w:r>
      <w:r>
        <w:rPr>
          <w:rFonts w:ascii="arial" w:hAnsi="arial"/>
          <w:sz w:val="20"/>
        </w:rPr>
        <w:t xml:space="preserve">—The holders of Founders Preferred Stock have the same voting rights as the holders of the Class B common stock, and the holders of Common Stock and Founders Preferred Stock vote together as a single class on all matters. Each holder of Founders Preferred Stock is entitled to one vote for each share held by such holder. </w:t>
      </w:r>
    </w:p>
    <w:p>
      <w:pPr>
        <w:pStyle w:val="TextBody"/>
        <w:bidi w:val="0"/>
        <w:spacing w:before="160" w:after="0"/>
        <w:jc w:val="left"/>
        <w:rPr>
          <w:rFonts w:ascii="arial" w:hAnsi="arial"/>
          <w:sz w:val="20"/>
        </w:rPr>
      </w:pPr>
      <w:r>
        <w:rPr>
          <w:rFonts w:ascii="arial" w:hAnsi="arial"/>
          <w:i/>
          <w:sz w:val="20"/>
        </w:rPr>
        <w:t>Preferred stock</w:t>
      </w:r>
      <w:r>
        <w:rPr>
          <w:rFonts w:ascii="arial" w:hAnsi="arial"/>
          <w:sz w:val="20"/>
        </w:rPr>
        <w:t xml:space="preserve">—The holders of each share of Preferred Stock have the right to one vote for each share of Class B common stock into which such Preferred Stock could then be converted and, with respect to such vote, holders of Preferred Stock are entitled to vote together with the holders of Common Stock as a single class. As of December 31, 2025, as long as at least 20% of the shares of Series C Preferred Stock in the aggregate originally issued remain outstanding, the holders of such shares of Series C Preferred Stock shall be entitled to elect one director at any election of directors (the “Series C Director”). As long as at least 20% of the shares of Series B and Series B-Plus preferred stock in the aggregate originally issued remain outstanding, the holders of such Series B and Series B-Plus preferred stock are entitled to elect one director of the Company (the “Series B Director”). As long as at least 20% of the shares of Series A-3 and Series A-4 preferred stock in the aggregate originally issued remain outstanding, the holders of such Series A-3 and Series A-4 preferred stock are entitled to elect two directors of the Company (the “Series A Directors”). The holders of outstanding Class A common stock are entitled to elect two directors of the Company (the “Common Directors”). The holders of Preferred Stock, Founders Preferred Stock and Common Stock, voting together as a single class and on an as-converted basis, are entitled to elect any remaining directors of the Company. Each director has one vote on all matters voted on by the Board of Directors. </w:t>
      </w:r>
    </w:p>
    <w:p>
      <w:pPr>
        <w:pStyle w:val="TextBody"/>
        <w:bidi w:val="0"/>
        <w:spacing w:before="160" w:after="0"/>
        <w:jc w:val="left"/>
        <w:rPr>
          <w:rFonts w:ascii="arial" w:hAnsi="arial"/>
          <w:b/>
          <w:i/>
          <w:sz w:val="20"/>
        </w:rPr>
      </w:pPr>
      <w:r>
        <w:rPr>
          <w:rFonts w:ascii="arial" w:hAnsi="arial"/>
          <w:b/>
          <w:i/>
          <w:sz w:val="20"/>
        </w:rPr>
        <w:t xml:space="preserve">Liquidation preference </w:t>
      </w:r>
    </w:p>
    <w:p>
      <w:pPr>
        <w:pStyle w:val="TextBody"/>
        <w:bidi w:val="0"/>
        <w:spacing w:before="160" w:after="0"/>
        <w:jc w:val="left"/>
        <w:rPr>
          <w:rFonts w:ascii="arial" w:hAnsi="arial"/>
          <w:sz w:val="20"/>
        </w:rPr>
      </w:pPr>
      <w:r>
        <w:rPr>
          <w:rFonts w:ascii="arial" w:hAnsi="arial"/>
          <w:sz w:val="20"/>
        </w:rPr>
        <w:t xml:space="preserve">In the event of any Liquidation Event (as defined below), either voluntary or involuntary, the holders of each series of Preferred Stock outstanding are entitled to be paid out the Company’s assets available for distribution to stockholders, before any payment is made to the holders of Founders Preferred Stock and Common Stock, an amount per share equal to the sum of original issue price for such series of preferred stock, plus any dividends declared but unpaid on such share. If the Company’s proceeds or assets available for distribution to its stockholders are insufficient to pay the stated preferential amounts in full, the entire proceeds legally available for distribution will be distributed ratably among the holders of the Preferred Stock in proportion to the full preferential amount that each such holder is otherwise entitled to receive. Prior to the issuance of Series C convertible preferred stock, upon completion of the distributions to the holders of Preferred Stock, the remaining proceeds available for distribution to stockholders are distributed among the holders of Preferred Stock, Founders Preferred Stock and Common Stock pro rata based on the number of shares of Class B common stock held by each, assuming full conversion of such stock until each series of Preferred Stock receives the applicable Participation Cap (defined as the sum of 2.5x of the Original Issue Price of each share of Preferred Stock plus all declared but unpaid dividends); thereafter, if proceeds remain, the holders of the Founders Preferred Stock and Common Stock will receive all of the remaining proceeds pro rata based on the number of shares of Class B common stock held by each, assuming full conversion of such stock. The Preferred Stock is deemed to have converted into Class B common stock if, as a result of conversion, the holders of Preferred Stock would receive an amount greater than their preferential amounts.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Associated with the issuance of Series C convertible preferred stock, the Company distributed an in-kind dividend to holders of Series A-1, Series A-2, Series A-3, Series A-4, Series B and Series B-Plus convertible preferred stock. See Note 14 – Investment in Attovia and Related Party Transactions, for further details. </w:t>
      </w:r>
    </w:p>
    <w:p>
      <w:pPr>
        <w:pStyle w:val="TextBody"/>
        <w:bidi w:val="0"/>
        <w:spacing w:before="160" w:after="0"/>
        <w:jc w:val="left"/>
        <w:rPr>
          <w:rFonts w:ascii="arial" w:hAnsi="arial"/>
          <w:sz w:val="20"/>
        </w:rPr>
      </w:pPr>
      <w:r>
        <w:rPr>
          <w:rFonts w:ascii="arial" w:hAnsi="arial"/>
          <w:sz w:val="20"/>
        </w:rPr>
        <w:t xml:space="preserve">After the issuance of Series C convertible preferred stock, upon completion of the distributions to the holders of Preferred Stock, there is no longer Participation Cap for holders of Preferred Stock, Founders Preferred Stock and Common Stock. The remaining proceeds available for distribution to stockholders are distributed among the holders of Founders Preferred Stock and Common Stock pro rata based on the number of shares of Class B common stock held by each, assuming full conversion of such stock. The Company accounted for the change of liquidation preference as an extinguishment of Series B and B-Plus convertible preferred stock. As a result, the difference between the carrying amount and the fair value of the Series B and B-Plus convertible preferred stock of $12.8 million was recognized as a reduction of Preferred Stock, a reduction of the investment in Attovia and a reduction of accumulated deficit. </w:t>
      </w:r>
    </w:p>
    <w:p>
      <w:pPr>
        <w:pStyle w:val="TextBody"/>
        <w:bidi w:val="0"/>
        <w:spacing w:before="160" w:after="0"/>
        <w:jc w:val="left"/>
        <w:rPr>
          <w:rFonts w:ascii="arial" w:hAnsi="arial"/>
          <w:sz w:val="20"/>
        </w:rPr>
      </w:pPr>
      <w:r>
        <w:rPr>
          <w:rFonts w:ascii="arial" w:hAnsi="arial"/>
          <w:sz w:val="20"/>
        </w:rPr>
        <w:t xml:space="preserve">A Liquidation Event is defined as (A) the sale, lease, transfer, exclusive license or other disposition of all or substantially all of the assets of the Company; (B) the merger or consideration of the Company with or into another entity in which the holders of the voting securities of the Company outstanding immediately prior to such transaction no longer retain more than 50% of the voting power after such transaction; (C) the transfer of the Company’s securities to a person or group of affiliated persons if such person or group of affiliated persons would hold 50% or more of the voting power of the Company; or (D) a liquidation, dissolution or winding up of the Company. The treatment of Liquidation Event may be waived by the vote or written consent of the Preferred Majority. </w:t>
      </w:r>
    </w:p>
    <w:p>
      <w:pPr>
        <w:pStyle w:val="TextBody"/>
        <w:bidi w:val="0"/>
        <w:spacing w:before="160" w:after="0"/>
        <w:jc w:val="left"/>
        <w:rPr>
          <w:rFonts w:ascii="arial" w:hAnsi="arial"/>
          <w:b/>
          <w:i/>
          <w:sz w:val="20"/>
        </w:rPr>
      </w:pPr>
      <w:r>
        <w:rPr>
          <w:rFonts w:ascii="arial" w:hAnsi="arial"/>
          <w:b/>
          <w:i/>
          <w:sz w:val="20"/>
        </w:rPr>
        <w:t xml:space="preserve">Redemption rights </w:t>
      </w:r>
    </w:p>
    <w:p>
      <w:pPr>
        <w:pStyle w:val="TextBody"/>
        <w:bidi w:val="0"/>
        <w:spacing w:before="160" w:after="0"/>
        <w:jc w:val="left"/>
        <w:rPr>
          <w:rFonts w:ascii="arial" w:hAnsi="arial"/>
          <w:sz w:val="20"/>
        </w:rPr>
      </w:pPr>
      <w:r>
        <w:rPr>
          <w:rFonts w:ascii="arial" w:hAnsi="arial"/>
          <w:sz w:val="20"/>
        </w:rPr>
        <w:t xml:space="preserve">The Company’s Convertible Preferred Stock is not redeemable at the option of the holder thereof. </w:t>
      </w:r>
    </w:p>
    <w:p>
      <w:pPr>
        <w:pStyle w:val="TextBody"/>
        <w:bidi w:val="0"/>
        <w:spacing w:before="160" w:after="0"/>
        <w:jc w:val="left"/>
        <w:rPr>
          <w:rFonts w:ascii="arial" w:hAnsi="arial"/>
          <w:b/>
          <w:i/>
          <w:sz w:val="20"/>
        </w:rPr>
      </w:pPr>
      <w:r>
        <w:rPr>
          <w:rFonts w:ascii="arial" w:hAnsi="arial"/>
          <w:b/>
          <w:i/>
          <w:sz w:val="20"/>
        </w:rPr>
        <w:t xml:space="preserve">Warrants to purchase convertible preferred stock or common stock </w:t>
      </w:r>
    </w:p>
    <w:p>
      <w:pPr>
        <w:pStyle w:val="TextBody"/>
        <w:bidi w:val="0"/>
        <w:spacing w:before="160" w:after="0"/>
        <w:jc w:val="left"/>
        <w:rPr>
          <w:rFonts w:ascii="arial" w:hAnsi="arial"/>
          <w:sz w:val="20"/>
        </w:rPr>
      </w:pPr>
      <w:r>
        <w:rPr>
          <w:rFonts w:ascii="arial" w:hAnsi="arial"/>
          <w:sz w:val="20"/>
        </w:rPr>
        <w:t xml:space="preserve">The following table summarizes the Company’s outstanding warrants 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0"/>
        <w:gridCol w:w="215"/>
        <w:gridCol w:w="150"/>
        <w:gridCol w:w="741"/>
        <w:gridCol w:w="60"/>
        <w:gridCol w:w="215"/>
        <w:gridCol w:w="91"/>
        <w:gridCol w:w="1048"/>
        <w:gridCol w:w="60"/>
        <w:gridCol w:w="215"/>
        <w:gridCol w:w="60"/>
        <w:gridCol w:w="1357"/>
        <w:gridCol w:w="63"/>
      </w:tblGrid>
      <w:tr>
        <w:trPr/>
        <w:tc>
          <w:tcPr>
            <w:tcW w:w="593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930" w:type="dxa"/>
            <w:tcBorders>
              <w:top w:val="single" w:sz="16" w:space="0" w:color="000000"/>
            </w:tcBorders>
            <w:tcMar>
              <w:top w:w="28" w:type="dxa"/>
            </w:tcMar>
            <w:vAlign w:val="center"/>
          </w:tcPr>
          <w:p>
            <w:pPr>
              <w:pStyle w:val="TableContents"/>
              <w:bidi w:val="0"/>
              <w:spacing w:before="0" w:after="283"/>
              <w:jc w:val="left"/>
              <w:rPr/>
            </w:pPr>
            <w:r>
              <w:rPr/>
              <w:t> </w:t>
            </w:r>
          </w:p>
        </w:tc>
        <w:tc>
          <w:tcPr>
            <w:tcW w:w="116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1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9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930" w:type="dxa"/>
            <w:tcBorders>
              <w:bottom w:val="single" w:sz="2" w:space="0" w:color="000000"/>
            </w:tcBorders>
            <w:tcMar>
              <w:bottom w:w="28" w:type="dxa"/>
            </w:tcMar>
            <w:vAlign w:val="bottom"/>
          </w:tcPr>
          <w:p>
            <w:pPr>
              <w:pStyle w:val="TableContents"/>
              <w:bidi w:val="0"/>
              <w:spacing w:before="0" w:after="283"/>
              <w:jc w:val="left"/>
              <w:rPr>
                <w:b/>
              </w:rPr>
            </w:pPr>
            <w:r>
              <w:rPr>
                <w:b/>
              </w:rPr>
              <w:t>Underlying shares</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8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Exercise</w:t>
              <w:br/>
              <w:t>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139"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417"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Expiration</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930" w:type="dxa"/>
            <w:tcBorders/>
            <w:shd w:fill="CCEEFF" w:val="clear"/>
          </w:tcPr>
          <w:p>
            <w:pPr>
              <w:pStyle w:val="TableContents"/>
              <w:bidi w:val="0"/>
              <w:spacing w:before="0" w:after="0"/>
              <w:jc w:val="left"/>
              <w:rPr>
                <w:rFonts w:ascii="arial" w:hAnsi="arial"/>
                <w:sz w:val="20"/>
              </w:rPr>
            </w:pPr>
            <w:r>
              <w:rPr>
                <w:rFonts w:ascii="arial" w:hAnsi="arial"/>
                <w:sz w:val="20"/>
              </w:rPr>
              <w:t>Series C Preferred Stock</w:t>
            </w:r>
          </w:p>
        </w:tc>
        <w:tc>
          <w:tcPr>
            <w:tcW w:w="21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2.9775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75,567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June 21, 2032</w:t>
            </w:r>
          </w:p>
        </w:tc>
        <w:tc>
          <w:tcPr>
            <w:tcW w:w="63" w:type="dxa"/>
            <w:tcBorders/>
            <w:shd w:fill="CCEEFF" w:val="clear"/>
            <w:vAlign w:val="bottom"/>
          </w:tcPr>
          <w:p>
            <w:pPr>
              <w:pStyle w:val="TableContents"/>
              <w:bidi w:val="0"/>
              <w:spacing w:before="0" w:after="283"/>
              <w:jc w:val="left"/>
              <w:rPr/>
            </w:pPr>
            <w:r>
              <w:rPr/>
              <w:t> </w:t>
            </w:r>
          </w:p>
        </w:tc>
      </w:tr>
      <w:tr>
        <w:trPr/>
        <w:tc>
          <w:tcPr>
            <w:tcW w:w="5930" w:type="dxa"/>
            <w:tcBorders/>
          </w:tcPr>
          <w:p>
            <w:pPr>
              <w:pStyle w:val="TableContents"/>
              <w:bidi w:val="0"/>
              <w:spacing w:before="0" w:after="0"/>
              <w:jc w:val="left"/>
              <w:rPr>
                <w:rFonts w:ascii="arial" w:hAnsi="arial"/>
                <w:sz w:val="20"/>
              </w:rPr>
            </w:pPr>
            <w:r>
              <w:rPr>
                <w:rFonts w:ascii="arial" w:hAnsi="arial"/>
                <w:sz w:val="20"/>
              </w:rPr>
              <w:t>Class B Common Stock</w:t>
            </w:r>
          </w:p>
        </w:tc>
        <w:tc>
          <w:tcPr>
            <w:tcW w:w="21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84,162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July 11, 2034</w:t>
            </w:r>
          </w:p>
        </w:tc>
        <w:tc>
          <w:tcPr>
            <w:tcW w:w="63" w:type="dxa"/>
            <w:tcBorders/>
            <w:vAlign w:val="bottom"/>
          </w:tcPr>
          <w:p>
            <w:pPr>
              <w:pStyle w:val="TableContents"/>
              <w:bidi w:val="0"/>
              <w:spacing w:before="0" w:after="283"/>
              <w:jc w:val="left"/>
              <w:rPr/>
            </w:pPr>
            <w:r>
              <w:rPr/>
              <w:t> </w:t>
            </w:r>
          </w:p>
        </w:tc>
      </w:tr>
      <w:tr>
        <w:trPr/>
        <w:tc>
          <w:tcPr>
            <w:tcW w:w="10142" w:type="dxa"/>
            <w:gridSpan w:val="12"/>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summarizes the Company’s outstanding warrants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0"/>
        <w:gridCol w:w="215"/>
        <w:gridCol w:w="150"/>
        <w:gridCol w:w="741"/>
        <w:gridCol w:w="60"/>
        <w:gridCol w:w="215"/>
        <w:gridCol w:w="91"/>
        <w:gridCol w:w="1048"/>
        <w:gridCol w:w="60"/>
        <w:gridCol w:w="215"/>
        <w:gridCol w:w="60"/>
        <w:gridCol w:w="1357"/>
        <w:gridCol w:w="63"/>
      </w:tblGrid>
      <w:tr>
        <w:trPr/>
        <w:tc>
          <w:tcPr>
            <w:tcW w:w="593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930" w:type="dxa"/>
            <w:tcBorders>
              <w:top w:val="single" w:sz="16" w:space="0" w:color="000000"/>
            </w:tcBorders>
            <w:tcMar>
              <w:top w:w="28" w:type="dxa"/>
            </w:tcMar>
            <w:vAlign w:val="center"/>
          </w:tcPr>
          <w:p>
            <w:pPr>
              <w:pStyle w:val="TableContents"/>
              <w:bidi w:val="0"/>
              <w:spacing w:before="0" w:after="283"/>
              <w:jc w:val="left"/>
              <w:rPr/>
            </w:pPr>
            <w:r>
              <w:rPr/>
              <w:t> </w:t>
            </w:r>
          </w:p>
        </w:tc>
        <w:tc>
          <w:tcPr>
            <w:tcW w:w="116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1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9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930" w:type="dxa"/>
            <w:tcBorders>
              <w:bottom w:val="single" w:sz="2" w:space="0" w:color="000000"/>
            </w:tcBorders>
            <w:tcMar>
              <w:bottom w:w="28" w:type="dxa"/>
            </w:tcMar>
            <w:vAlign w:val="bottom"/>
          </w:tcPr>
          <w:p>
            <w:pPr>
              <w:pStyle w:val="TableContents"/>
              <w:bidi w:val="0"/>
              <w:spacing w:before="0" w:after="283"/>
              <w:jc w:val="left"/>
              <w:rPr>
                <w:b/>
              </w:rPr>
            </w:pPr>
            <w:r>
              <w:rPr>
                <w:b/>
              </w:rPr>
              <w:t>Underlying shares</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8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Exercise</w:t>
              <w:br/>
              <w:t>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139"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417"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Expiration</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930" w:type="dxa"/>
            <w:tcBorders/>
            <w:shd w:fill="CCEEFF" w:val="clear"/>
          </w:tcPr>
          <w:p>
            <w:pPr>
              <w:pStyle w:val="TableContents"/>
              <w:bidi w:val="0"/>
              <w:spacing w:before="0" w:after="0"/>
              <w:jc w:val="left"/>
              <w:rPr>
                <w:rFonts w:ascii="arial" w:hAnsi="arial"/>
                <w:sz w:val="20"/>
              </w:rPr>
            </w:pPr>
            <w:r>
              <w:rPr>
                <w:rFonts w:ascii="arial" w:hAnsi="arial"/>
                <w:sz w:val="20"/>
              </w:rPr>
              <w:t>Series C Preferred Stock</w:t>
            </w:r>
          </w:p>
        </w:tc>
        <w:tc>
          <w:tcPr>
            <w:tcW w:w="21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2.9775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75,567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June 21, 2032</w:t>
            </w:r>
          </w:p>
        </w:tc>
        <w:tc>
          <w:tcPr>
            <w:tcW w:w="63" w:type="dxa"/>
            <w:tcBorders/>
            <w:shd w:fill="CCEEFF" w:val="clear"/>
            <w:vAlign w:val="bottom"/>
          </w:tcPr>
          <w:p>
            <w:pPr>
              <w:pStyle w:val="TableContents"/>
              <w:bidi w:val="0"/>
              <w:spacing w:before="0" w:after="283"/>
              <w:jc w:val="left"/>
              <w:rPr/>
            </w:pPr>
            <w:r>
              <w:rPr/>
              <w:t> </w:t>
            </w:r>
          </w:p>
        </w:tc>
      </w:tr>
      <w:tr>
        <w:trPr/>
        <w:tc>
          <w:tcPr>
            <w:tcW w:w="5930" w:type="dxa"/>
            <w:tcBorders/>
          </w:tcPr>
          <w:p>
            <w:pPr>
              <w:pStyle w:val="TableContents"/>
              <w:bidi w:val="0"/>
              <w:spacing w:before="0" w:after="0"/>
              <w:jc w:val="left"/>
              <w:rPr>
                <w:rFonts w:ascii="arial" w:hAnsi="arial"/>
                <w:sz w:val="20"/>
              </w:rPr>
            </w:pPr>
            <w:r>
              <w:rPr>
                <w:rFonts w:ascii="arial" w:hAnsi="arial"/>
                <w:sz w:val="20"/>
              </w:rPr>
              <w:t>Class B Common Stock</w:t>
            </w:r>
          </w:p>
        </w:tc>
        <w:tc>
          <w:tcPr>
            <w:tcW w:w="21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84,162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July 11, 2034</w:t>
            </w:r>
          </w:p>
        </w:tc>
        <w:tc>
          <w:tcPr>
            <w:tcW w:w="63" w:type="dxa"/>
            <w:tcBorders/>
            <w:vAlign w:val="bottom"/>
          </w:tcPr>
          <w:p>
            <w:pPr>
              <w:pStyle w:val="TableContents"/>
              <w:bidi w:val="0"/>
              <w:spacing w:before="0" w:after="283"/>
              <w:jc w:val="left"/>
              <w:rPr/>
            </w:pPr>
            <w:r>
              <w:rPr/>
              <w:t> </w:t>
            </w:r>
          </w:p>
        </w:tc>
      </w:tr>
      <w:tr>
        <w:trPr/>
        <w:tc>
          <w:tcPr>
            <w:tcW w:w="5930" w:type="dxa"/>
            <w:tcBorders/>
            <w:shd w:fill="CCEEFF" w:val="clear"/>
          </w:tcPr>
          <w:p>
            <w:pPr>
              <w:pStyle w:val="TableContents"/>
              <w:bidi w:val="0"/>
              <w:spacing w:before="0" w:after="0"/>
              <w:jc w:val="left"/>
              <w:rPr>
                <w:rFonts w:ascii="arial" w:hAnsi="arial"/>
                <w:sz w:val="20"/>
              </w:rPr>
            </w:pPr>
            <w:r>
              <w:rPr>
                <w:rFonts w:ascii="arial" w:hAnsi="arial"/>
                <w:sz w:val="20"/>
              </w:rPr>
              <w:t>Class B Common Stock</w:t>
            </w:r>
          </w:p>
        </w:tc>
        <w:tc>
          <w:tcPr>
            <w:tcW w:w="21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4.18</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28,685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Sept 19, 2035</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12"/>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9. Stock plan </w:t>
      </w:r>
    </w:p>
    <w:p>
      <w:pPr>
        <w:pStyle w:val="TextBody"/>
        <w:bidi w:val="0"/>
        <w:spacing w:before="160" w:after="0"/>
        <w:jc w:val="left"/>
        <w:rPr>
          <w:rFonts w:ascii="arial" w:hAnsi="arial"/>
          <w:sz w:val="20"/>
        </w:rPr>
      </w:pPr>
      <w:r>
        <w:rPr>
          <w:rFonts w:ascii="arial" w:hAnsi="arial"/>
          <w:sz w:val="20"/>
        </w:rPr>
        <w:t xml:space="preserve">In July 2018, the Company’s Board of Directors approved the adoption of a stock plan (the “Stock Plan”) and the Board of Directors periodically approves changes in the number of authorized shares under the plan. The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Plan provides for the grant of restricted stock awards, incentive and non-statutory stock options and restricted stock units (“RSUs”) to employees, nonemployee directors and consultants of the Company. As of December 31, 2024 and 2025, only stock options had been granted under the Stock Plan. The stock option awards generally include service condition vesting terms of four years, with 25% of the award vesting one year from the vesting commencement date and then ratably over the following 36 months, though some vest over shorter periods, vesting monthly from grant date. Options granted under the Stock Plan generally expire ten years from the date of grant. Options are exercisable only to the extent vested unless early exercise is approved by the Company’s Board of Directors. </w:t>
      </w:r>
    </w:p>
    <w:p>
      <w:pPr>
        <w:pStyle w:val="TextBody"/>
        <w:bidi w:val="0"/>
        <w:spacing w:before="160" w:after="0"/>
        <w:jc w:val="left"/>
        <w:rPr>
          <w:rFonts w:ascii="arial" w:hAnsi="arial"/>
          <w:sz w:val="20"/>
        </w:rPr>
      </w:pPr>
      <w:r>
        <w:rPr>
          <w:rFonts w:ascii="arial" w:hAnsi="arial"/>
          <w:sz w:val="20"/>
        </w:rPr>
        <w:t xml:space="preserve">As of December 31, 2024 and 2025, 16,448 and 35,629 shares of common stock granted pursuant to the early exercise of options were outstanding and subject to the Company’s repurchase right. The exercise price of all stock options granted under the Stock Plan must be at least equal to 100% of the fair value of the Company’s common stock at the date of grant, as determined by the Board of Directors. As of December 31, 2025, total shares available for grant under the Stock Plan were 1,778,636. </w:t>
      </w:r>
    </w:p>
    <w:p>
      <w:pPr>
        <w:pStyle w:val="TextBody"/>
        <w:bidi w:val="0"/>
        <w:spacing w:before="160" w:after="0"/>
        <w:jc w:val="left"/>
        <w:rPr>
          <w:rFonts w:ascii="arial" w:hAnsi="arial"/>
          <w:sz w:val="20"/>
        </w:rPr>
      </w:pPr>
      <w:r>
        <w:rPr>
          <w:rFonts w:ascii="arial" w:hAnsi="arial"/>
          <w:sz w:val="20"/>
        </w:rPr>
        <w:t xml:space="preserve">As of December 31, 2025, there was $9.8 million of unamortized stock-based compensation costs which is expected to be recognized over a weighted-average period of 3.1 years. </w:t>
      </w:r>
    </w:p>
    <w:p>
      <w:pPr>
        <w:pStyle w:val="TextBody"/>
        <w:bidi w:val="0"/>
        <w:spacing w:before="160" w:after="0"/>
        <w:jc w:val="left"/>
        <w:rPr>
          <w:rFonts w:ascii="arial" w:hAnsi="arial"/>
          <w:sz w:val="20"/>
        </w:rPr>
      </w:pPr>
      <w:r>
        <w:rPr>
          <w:rFonts w:ascii="arial" w:hAnsi="arial"/>
          <w:sz w:val="20"/>
        </w:rPr>
        <w:t xml:space="preserve">For the years ended December 31, 2024 and 2025, the Company recorded stock-based compensation expense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8"/>
        <w:gridCol w:w="328"/>
        <w:gridCol w:w="140"/>
        <w:gridCol w:w="389"/>
        <w:gridCol w:w="60"/>
        <w:gridCol w:w="328"/>
        <w:gridCol w:w="140"/>
        <w:gridCol w:w="578"/>
        <w:gridCol w:w="64"/>
      </w:tblGrid>
      <w:tr>
        <w:trPr/>
        <w:tc>
          <w:tcPr>
            <w:tcW w:w="817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78" w:type="dxa"/>
            <w:tcBorders>
              <w:top w:val="single" w:sz="16" w:space="0" w:color="000000"/>
            </w:tcBorders>
            <w:tcMar>
              <w:top w:w="28" w:type="dxa"/>
            </w:tcMar>
            <w:vAlign w:val="center"/>
          </w:tcPr>
          <w:p>
            <w:pPr>
              <w:pStyle w:val="TableContents"/>
              <w:bidi w:val="0"/>
              <w:spacing w:before="0" w:after="283"/>
              <w:jc w:val="left"/>
              <w:rPr/>
            </w:pPr>
            <w:r>
              <w:rPr/>
              <w:t> </w:t>
            </w:r>
          </w:p>
        </w:tc>
        <w:tc>
          <w:tcPr>
            <w:tcW w:w="202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635"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178" w:type="dxa"/>
            <w:tcBorders>
              <w:bottom w:val="single" w:sz="2" w:space="0" w:color="000000"/>
            </w:tcBorders>
            <w:tcMar>
              <w:bottom w:w="28" w:type="dxa"/>
            </w:tcMar>
            <w:vAlign w:val="bottom"/>
          </w:tcPr>
          <w:p>
            <w:pPr>
              <w:pStyle w:val="TableContents"/>
              <w:bidi w:val="0"/>
              <w:spacing w:before="0" w:after="283"/>
              <w:jc w:val="left"/>
              <w:rPr/>
            </w:pPr>
            <w:r>
              <w:rPr/>
              <w:t>  </w:t>
            </w:r>
          </w:p>
        </w:tc>
        <w:tc>
          <w:tcPr>
            <w:tcW w:w="328" w:type="dxa"/>
            <w:tcBorders>
              <w:bottom w:val="single" w:sz="2" w:space="0" w:color="000000"/>
            </w:tcBorders>
            <w:tcMar>
              <w:bottom w:w="28" w:type="dxa"/>
            </w:tcMar>
            <w:vAlign w:val="bottom"/>
          </w:tcPr>
          <w:p>
            <w:pPr>
              <w:pStyle w:val="TableContents"/>
              <w:bidi w:val="0"/>
              <w:spacing w:before="0" w:after="283"/>
              <w:jc w:val="left"/>
              <w:rPr/>
            </w:pPr>
            <w:r>
              <w:rPr/>
              <w:t>  </w:t>
            </w:r>
          </w:p>
        </w:tc>
        <w:tc>
          <w:tcPr>
            <w:tcW w:w="52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 w:type="dxa"/>
            <w:tcBorders>
              <w:bottom w:val="single" w:sz="2" w:space="0" w:color="000000"/>
            </w:tcBorders>
            <w:tcMar>
              <w:bottom w:w="28" w:type="dxa"/>
            </w:tcMar>
            <w:vAlign w:val="bottom"/>
          </w:tcPr>
          <w:p>
            <w:pPr>
              <w:pStyle w:val="TableContents"/>
              <w:bidi w:val="0"/>
              <w:spacing w:before="0" w:after="283"/>
              <w:jc w:val="left"/>
              <w:rPr/>
            </w:pPr>
            <w:r>
              <w:rPr/>
              <w:t>  </w:t>
            </w:r>
          </w:p>
        </w:tc>
        <w:tc>
          <w:tcPr>
            <w:tcW w:w="71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arial" w:hAnsi="arial"/>
                <w:sz w:val="20"/>
              </w:rPr>
            </w:pPr>
            <w:r>
              <w:rPr>
                <w:rFonts w:ascii="arial" w:hAnsi="arial"/>
                <w:sz w:val="20"/>
              </w:rPr>
              <w:t>Cost of product revenue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9"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30</w:t>
            </w:r>
          </w:p>
        </w:tc>
        <w:tc>
          <w:tcPr>
            <w:tcW w:w="64"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arial" w:hAnsi="arial"/>
                <w:sz w:val="20"/>
              </w:rPr>
            </w:pPr>
            <w:r>
              <w:rPr>
                <w:rFonts w:ascii="arial" w:hAnsi="arial"/>
                <w:sz w:val="20"/>
              </w:rPr>
              <w:t>Cost of service and other revenue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right"/>
              <w:rPr/>
            </w:pPr>
            <w:r>
              <w:rPr/>
              <w:t>342</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991</w:t>
            </w:r>
          </w:p>
        </w:tc>
        <w:tc>
          <w:tcPr>
            <w:tcW w:w="64"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arial" w:hAnsi="arial"/>
                <w:sz w:val="20"/>
              </w:rPr>
            </w:pPr>
            <w:r>
              <w:rPr>
                <w:rFonts w:ascii="arial" w:hAnsi="arial"/>
                <w:sz w:val="20"/>
              </w:rPr>
              <w:t>Selling, general and administrative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453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1,795</w:t>
            </w:r>
          </w:p>
        </w:tc>
        <w:tc>
          <w:tcPr>
            <w:tcW w:w="64" w:type="dxa"/>
            <w:tcBorders/>
            <w:vAlign w:val="bottom"/>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95"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arial" w:hAnsi="arial"/>
                <w:sz w:val="20"/>
              </w:rPr>
            </w:pPr>
            <w:r>
              <w:rPr>
                <w:rFonts w:ascii="arial" w:hAnsi="arial"/>
                <w:sz w:val="20"/>
              </w:rPr>
              <w:t>Total stock-based compensation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9"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2,870</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4"/>
        </w:rPr>
      </w:pPr>
      <w:r>
        <w:rPr>
          <w:rFonts w:ascii="arial" w:hAnsi="arial"/>
          <w:b/>
          <w:i/>
          <w:sz w:val="24"/>
        </w:rPr>
        <w:t xml:space="preserve">Stock options </w:t>
      </w:r>
    </w:p>
    <w:p>
      <w:pPr>
        <w:pStyle w:val="TextBody"/>
        <w:bidi w:val="0"/>
        <w:spacing w:before="160" w:after="0"/>
        <w:jc w:val="left"/>
        <w:rPr>
          <w:rFonts w:ascii="arial" w:hAnsi="arial"/>
          <w:sz w:val="20"/>
        </w:rPr>
      </w:pPr>
      <w:r>
        <w:rPr>
          <w:rFonts w:ascii="arial" w:hAnsi="arial"/>
          <w:sz w:val="20"/>
        </w:rPr>
        <w:t xml:space="preserve">Stock option activity for the year ended December 31, 2025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1"/>
        <w:gridCol w:w="333"/>
        <w:gridCol w:w="70"/>
        <w:gridCol w:w="1171"/>
        <w:gridCol w:w="155"/>
        <w:gridCol w:w="285"/>
        <w:gridCol w:w="230"/>
        <w:gridCol w:w="719"/>
        <w:gridCol w:w="60"/>
        <w:gridCol w:w="333"/>
        <w:gridCol w:w="150"/>
        <w:gridCol w:w="1130"/>
        <w:gridCol w:w="60"/>
        <w:gridCol w:w="333"/>
        <w:gridCol w:w="247"/>
        <w:gridCol w:w="1210"/>
        <w:gridCol w:w="68"/>
      </w:tblGrid>
      <w:tr>
        <w:trPr/>
        <w:tc>
          <w:tcPr>
            <w:tcW w:w="3651"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651" w:type="dxa"/>
            <w:tcBorders>
              <w:top w:val="single" w:sz="16" w:space="0" w:color="000000"/>
            </w:tcBorders>
            <w:tcMar>
              <w:top w:w="28" w:type="dxa"/>
            </w:tcMar>
            <w:vAlign w:val="center"/>
          </w:tcPr>
          <w:p>
            <w:pPr>
              <w:pStyle w:val="TableContents"/>
              <w:bidi w:val="0"/>
              <w:spacing w:before="0" w:after="283"/>
              <w:jc w:val="left"/>
              <w:rPr/>
            </w:pPr>
            <w:r>
              <w:rPr/>
              <w:t> </w:t>
            </w:r>
          </w:p>
        </w:tc>
        <w:tc>
          <w:tcPr>
            <w:tcW w:w="1729"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9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73"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858"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65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41"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Options</w:t>
              <w:br/>
              <w:t>outstanding</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85" w:type="dxa"/>
            <w:tcBorders>
              <w:bottom w:val="single" w:sz="2" w:space="0" w:color="000000"/>
            </w:tcBorders>
            <w:tcMar>
              <w:bottom w:w="28" w:type="dxa"/>
            </w:tcMar>
            <w:vAlign w:val="bottom"/>
          </w:tcPr>
          <w:p>
            <w:pPr>
              <w:pStyle w:val="TableContents"/>
              <w:bidi w:val="0"/>
              <w:spacing w:before="0" w:after="283"/>
              <w:jc w:val="left"/>
              <w:rPr/>
            </w:pPr>
            <w:r>
              <w:rPr/>
              <w:t> </w:t>
            </w:r>
          </w:p>
        </w:tc>
        <w:tc>
          <w:tcPr>
            <w:tcW w:w="949"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Exercise</w:t>
              <w:br/>
              <w:t>price per</w:t>
              <w:br/>
              <w:t>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80" w:type="dxa"/>
            <w:gridSpan w:val="2"/>
            <w:tcBorders>
              <w:bottom w:val="single" w:sz="2" w:space="0" w:color="000000"/>
            </w:tcBorders>
            <w:tcMar>
              <w:bottom w:w="28" w:type="dxa"/>
            </w:tcMar>
            <w:vAlign w:val="bottom"/>
          </w:tcPr>
          <w:p>
            <w:pPr>
              <w:pStyle w:val="TableContents"/>
              <w:bidi w:val="0"/>
              <w:spacing w:before="0" w:after="283"/>
              <w:jc w:val="right"/>
              <w:rPr>
                <w:b/>
              </w:rPr>
            </w:pPr>
            <w:r>
              <w:rPr>
                <w:b/>
              </w:rPr>
              <w:t>Remaining</w:t>
              <w:br/>
              <w:t>contractual</w:t>
              <w:br/>
              <w:t>life (in years)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457"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w:t>
              <w:br/>
              <w:t>intrinsic value</w:t>
              <w:br/>
              <w:t>(in thousands)</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arial" w:hAnsi="arial"/>
                <w:sz w:val="20"/>
              </w:rPr>
            </w:pPr>
            <w:r>
              <w:rPr>
                <w:rFonts w:ascii="arial" w:hAnsi="arial"/>
                <w:sz w:val="20"/>
              </w:rPr>
              <w:t>Outstanding at January 1, 2025</w:t>
            </w:r>
          </w:p>
        </w:tc>
        <w:tc>
          <w:tcPr>
            <w:tcW w:w="3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2,884,714</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7.34</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3,490</w:t>
            </w:r>
          </w:p>
        </w:tc>
        <w:tc>
          <w:tcPr>
            <w:tcW w:w="68"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arial" w:hAnsi="arial"/>
                <w:sz w:val="20"/>
              </w:rPr>
            </w:pPr>
            <w:r>
              <w:rPr>
                <w:rFonts w:ascii="arial" w:hAnsi="arial"/>
                <w:sz w:val="20"/>
              </w:rPr>
              <w:t>Options granted</w:t>
            </w:r>
          </w:p>
        </w:tc>
        <w:tc>
          <w:tcPr>
            <w:tcW w:w="3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3,939,370</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3.62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51" w:type="dxa"/>
            <w:tcBorders/>
            <w:shd w:fill="CCEEFF" w:val="clear"/>
          </w:tcPr>
          <w:p>
            <w:pPr>
              <w:pStyle w:val="TableContents"/>
              <w:bidi w:val="0"/>
              <w:spacing w:before="0" w:after="0"/>
              <w:jc w:val="left"/>
              <w:rPr>
                <w:rFonts w:ascii="arial" w:hAnsi="arial"/>
                <w:sz w:val="20"/>
              </w:rPr>
            </w:pPr>
            <w:r>
              <w:rPr>
                <w:rFonts w:ascii="arial" w:hAnsi="arial"/>
                <w:sz w:val="20"/>
              </w:rPr>
              <w:t>Options exercised</w:t>
            </w:r>
          </w:p>
        </w:tc>
        <w:tc>
          <w:tcPr>
            <w:tcW w:w="3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(913,858</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1.80</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51" w:type="dxa"/>
            <w:tcBorders/>
          </w:tcPr>
          <w:p>
            <w:pPr>
              <w:pStyle w:val="TableContents"/>
              <w:bidi w:val="0"/>
              <w:spacing w:before="0" w:after="0"/>
              <w:jc w:val="left"/>
              <w:rPr>
                <w:rFonts w:ascii="arial" w:hAnsi="arial"/>
                <w:sz w:val="20"/>
              </w:rPr>
            </w:pPr>
            <w:r>
              <w:rPr>
                <w:rFonts w:ascii="arial" w:hAnsi="arial"/>
                <w:sz w:val="20"/>
              </w:rPr>
              <w:t>Options canceled/forfeited/expired</w:t>
            </w:r>
          </w:p>
        </w:tc>
        <w:tc>
          <w:tcPr>
            <w:tcW w:w="3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(67,675</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2.59</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5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51" w:type="dxa"/>
            <w:tcBorders/>
            <w:shd w:fill="CCEEFF" w:val="clear"/>
          </w:tcPr>
          <w:p>
            <w:pPr>
              <w:pStyle w:val="TableContents"/>
              <w:bidi w:val="0"/>
              <w:spacing w:before="0" w:after="0"/>
              <w:jc w:val="left"/>
              <w:rPr>
                <w:rFonts w:ascii="arial" w:hAnsi="arial"/>
                <w:sz w:val="20"/>
              </w:rPr>
            </w:pPr>
            <w:r>
              <w:rPr>
                <w:rFonts w:ascii="arial" w:hAnsi="arial"/>
                <w:sz w:val="20"/>
              </w:rPr>
              <w:t>Balances at December 31, 2025</w:t>
            </w:r>
          </w:p>
        </w:tc>
        <w:tc>
          <w:tcPr>
            <w:tcW w:w="3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5,842,551</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3.18</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25,767</w:t>
            </w:r>
          </w:p>
        </w:tc>
        <w:tc>
          <w:tcPr>
            <w:tcW w:w="68" w:type="dxa"/>
            <w:tcBorders/>
            <w:shd w:fill="CCEEFF" w:val="clear"/>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3651" w:type="dxa"/>
            <w:tcBorders/>
            <w:vAlign w:val="center"/>
          </w:tcPr>
          <w:p>
            <w:pPr>
              <w:pStyle w:val="TableContents"/>
              <w:bidi w:val="0"/>
              <w:spacing w:before="0" w:after="283"/>
              <w:jc w:val="left"/>
              <w:rPr>
                <w:sz w:val="4"/>
                <w:szCs w:val="4"/>
              </w:rPr>
            </w:pPr>
            <w:r>
              <w:rPr>
                <w:sz w:val="4"/>
                <w:szCs w:val="4"/>
              </w:rPr>
            </w:r>
          </w:p>
        </w:tc>
        <w:tc>
          <w:tcPr>
            <w:tcW w:w="1729"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673" w:type="dxa"/>
            <w:gridSpan w:val="4"/>
            <w:tcBorders/>
            <w:vAlign w:val="center"/>
          </w:tcPr>
          <w:p>
            <w:pPr>
              <w:pStyle w:val="TableContents"/>
              <w:bidi w:val="0"/>
              <w:spacing w:before="0" w:after="283"/>
              <w:jc w:val="left"/>
              <w:rPr>
                <w:sz w:val="4"/>
                <w:szCs w:val="4"/>
              </w:rPr>
            </w:pPr>
            <w:r>
              <w:rPr>
                <w:sz w:val="4"/>
                <w:szCs w:val="4"/>
              </w:rPr>
            </w:r>
          </w:p>
        </w:tc>
        <w:tc>
          <w:tcPr>
            <w:tcW w:w="1858" w:type="dxa"/>
            <w:gridSpan w:val="4"/>
            <w:tcBorders/>
            <w:vAlign w:val="center"/>
          </w:tcPr>
          <w:p>
            <w:pPr>
              <w:pStyle w:val="TableContents"/>
              <w:bidi w:val="0"/>
              <w:spacing w:before="0" w:after="283"/>
              <w:jc w:val="left"/>
              <w:rPr>
                <w:sz w:val="4"/>
                <w:szCs w:val="4"/>
              </w:rPr>
            </w:pPr>
            <w:r>
              <w:rPr>
                <w:sz w:val="4"/>
                <w:szCs w:val="4"/>
              </w:rPr>
            </w:r>
          </w:p>
        </w:tc>
      </w:tr>
      <w:tr>
        <w:trPr/>
        <w:tc>
          <w:tcPr>
            <w:tcW w:w="3651" w:type="dxa"/>
            <w:tcBorders/>
          </w:tcPr>
          <w:p>
            <w:pPr>
              <w:pStyle w:val="TableContents"/>
              <w:bidi w:val="0"/>
              <w:spacing w:before="0" w:after="0"/>
              <w:jc w:val="left"/>
              <w:rPr>
                <w:rFonts w:ascii="arial" w:hAnsi="arial"/>
                <w:sz w:val="20"/>
              </w:rPr>
            </w:pPr>
            <w:r>
              <w:rPr>
                <w:rFonts w:ascii="arial" w:hAnsi="arial"/>
                <w:sz w:val="20"/>
              </w:rPr>
              <w:t>As of December 31, 2025</w:t>
            </w:r>
          </w:p>
        </w:tc>
        <w:tc>
          <w:tcPr>
            <w:tcW w:w="333"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sz w:val="4"/>
                <w:szCs w:val="4"/>
              </w:rPr>
            </w:pPr>
            <w:r>
              <w:rPr>
                <w:sz w:val="4"/>
                <w:szCs w:val="4"/>
              </w:rPr>
            </w:r>
          </w:p>
        </w:tc>
        <w:tc>
          <w:tcPr>
            <w:tcW w:w="1171"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230" w:type="dxa"/>
            <w:tcBorders/>
          </w:tcPr>
          <w:p>
            <w:pPr>
              <w:pStyle w:val="TableContents"/>
              <w:bidi w:val="0"/>
              <w:spacing w:before="0" w:after="283"/>
              <w:jc w:val="left"/>
              <w:rPr>
                <w:sz w:val="4"/>
                <w:szCs w:val="4"/>
              </w:rPr>
            </w:pPr>
            <w:r>
              <w:rPr>
                <w:sz w:val="4"/>
                <w:szCs w:val="4"/>
              </w:rPr>
            </w:r>
          </w:p>
        </w:tc>
        <w:tc>
          <w:tcPr>
            <w:tcW w:w="7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sz w:val="4"/>
                <w:szCs w:val="4"/>
              </w:rPr>
            </w:pPr>
            <w:r>
              <w:rPr>
                <w:sz w:val="4"/>
                <w:szCs w:val="4"/>
              </w:rPr>
            </w:r>
          </w:p>
        </w:tc>
        <w:tc>
          <w:tcPr>
            <w:tcW w:w="1210" w:type="dxa"/>
            <w:tcBorders/>
          </w:tcPr>
          <w:p>
            <w:pPr>
              <w:pStyle w:val="TableContents"/>
              <w:bidi w:val="0"/>
              <w:spacing w:before="0" w:after="283"/>
              <w:jc w:val="left"/>
              <w:rPr>
                <w:sz w:val="4"/>
                <w:szCs w:val="4"/>
              </w:rPr>
            </w:pPr>
            <w:r>
              <w:rPr>
                <w:sz w:val="4"/>
                <w:szCs w:val="4"/>
              </w:rPr>
            </w:r>
          </w:p>
        </w:tc>
        <w:tc>
          <w:tcPr>
            <w:tcW w:w="68" w:type="dxa"/>
            <w:tcBorders/>
          </w:tcPr>
          <w:p>
            <w:pPr>
              <w:pStyle w:val="TableContents"/>
              <w:bidi w:val="0"/>
              <w:spacing w:before="0" w:after="283"/>
              <w:jc w:val="left"/>
              <w:rPr>
                <w:sz w:val="4"/>
                <w:szCs w:val="4"/>
              </w:rPr>
            </w:pPr>
            <w:r>
              <w:rPr>
                <w:sz w:val="4"/>
                <w:szCs w:val="4"/>
              </w:rPr>
            </w:r>
          </w:p>
        </w:tc>
      </w:tr>
      <w:tr>
        <w:trPr/>
        <w:tc>
          <w:tcPr>
            <w:tcW w:w="3651" w:type="dxa"/>
            <w:tcBorders/>
            <w:shd w:fill="CCEEFF" w:val="clear"/>
          </w:tcPr>
          <w:p>
            <w:pPr>
              <w:pStyle w:val="TableContents"/>
              <w:bidi w:val="0"/>
              <w:spacing w:before="0" w:after="0"/>
              <w:jc w:val="left"/>
              <w:rPr>
                <w:rFonts w:ascii="arial" w:hAnsi="arial"/>
                <w:sz w:val="20"/>
              </w:rPr>
            </w:pPr>
            <w:r>
              <w:rPr>
                <w:rFonts w:ascii="arial" w:hAnsi="arial"/>
                <w:sz w:val="20"/>
              </w:rPr>
              <w:t>Vested and expected to vest</w:t>
            </w:r>
          </w:p>
        </w:tc>
        <w:tc>
          <w:tcPr>
            <w:tcW w:w="3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5,878,180</w:t>
            </w:r>
          </w:p>
        </w:tc>
        <w:tc>
          <w:tcPr>
            <w:tcW w:w="155"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3.18</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25,919</w:t>
            </w:r>
          </w:p>
        </w:tc>
        <w:tc>
          <w:tcPr>
            <w:tcW w:w="68" w:type="dxa"/>
            <w:tcBorders/>
            <w:shd w:fill="CCEEFF" w:val="clear"/>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651" w:type="dxa"/>
            <w:tcBorders/>
          </w:tcPr>
          <w:p>
            <w:pPr>
              <w:pStyle w:val="TableContents"/>
              <w:bidi w:val="0"/>
              <w:spacing w:before="0" w:after="0"/>
              <w:jc w:val="left"/>
              <w:rPr>
                <w:rFonts w:ascii="arial" w:hAnsi="arial"/>
                <w:sz w:val="20"/>
              </w:rPr>
            </w:pPr>
            <w:r>
              <w:rPr>
                <w:rFonts w:ascii="arial" w:hAnsi="arial"/>
                <w:sz w:val="20"/>
              </w:rPr>
              <w:t>Exercisable at December 31, 2025</w:t>
            </w:r>
          </w:p>
        </w:tc>
        <w:tc>
          <w:tcPr>
            <w:tcW w:w="3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3,972,498</w:t>
            </w:r>
          </w:p>
        </w:tc>
        <w:tc>
          <w:tcPr>
            <w:tcW w:w="155"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2.92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7.87</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18,575</w:t>
            </w:r>
          </w:p>
        </w:tc>
        <w:tc>
          <w:tcPr>
            <w:tcW w:w="68" w:type="dxa"/>
            <w:tcBorders/>
            <w:vAlign w:val="bottom"/>
          </w:tcPr>
          <w:p>
            <w:pPr>
              <w:pStyle w:val="TableContents"/>
              <w:bidi w:val="0"/>
              <w:spacing w:before="0" w:after="283"/>
              <w:jc w:val="left"/>
              <w:rPr/>
            </w:pPr>
            <w:r>
              <w:rPr/>
              <w:t> </w:t>
            </w:r>
          </w:p>
        </w:tc>
      </w:tr>
      <w:tr>
        <w:trPr/>
        <w:tc>
          <w:tcPr>
            <w:tcW w:w="10137" w:type="dxa"/>
            <w:gridSpan w:val="16"/>
            <w:tcBorders/>
          </w:tcPr>
          <w:p>
            <w:pPr>
              <w:pStyle w:val="TableContents"/>
              <w:pBdr>
                <w:bottom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weighted-average grant date fair value of options granted was $2.32 and $2.66 per share for the years ended December 31, 2024 and 2025, respectively. The intrinsic value of options exercised during the year ended December 31, 2024 and 2025 was $1.0 million and $1.9 million, respectively. </w:t>
      </w:r>
    </w:p>
    <w:p>
      <w:pPr>
        <w:pStyle w:val="TextBody"/>
        <w:bidi w:val="0"/>
        <w:spacing w:before="160" w:after="0"/>
        <w:jc w:val="left"/>
        <w:rPr>
          <w:rFonts w:ascii="arial" w:hAnsi="arial"/>
          <w:sz w:val="20"/>
        </w:rPr>
      </w:pPr>
      <w:r>
        <w:rPr>
          <w:rFonts w:ascii="arial" w:hAnsi="arial"/>
          <w:sz w:val="20"/>
        </w:rPr>
        <w:t xml:space="preserve">The Company estimated the fair value of stock options granted during the years ended December 31, 2024 and 2025, using the Black-Scholes option pricing model with the following weighted-average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9"/>
        <w:gridCol w:w="123"/>
        <w:gridCol w:w="60"/>
        <w:gridCol w:w="623"/>
        <w:gridCol w:w="60"/>
        <w:gridCol w:w="123"/>
        <w:gridCol w:w="60"/>
        <w:gridCol w:w="583"/>
        <w:gridCol w:w="64"/>
      </w:tblGrid>
      <w:tr>
        <w:trPr/>
        <w:tc>
          <w:tcPr>
            <w:tcW w:w="85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509" w:type="dxa"/>
            <w:tcBorders>
              <w:top w:val="single" w:sz="16" w:space="0" w:color="000000"/>
            </w:tcBorders>
            <w:tcMar>
              <w:top w:w="28" w:type="dxa"/>
            </w:tcMar>
            <w:vAlign w:val="center"/>
          </w:tcPr>
          <w:p>
            <w:pPr>
              <w:pStyle w:val="TableContents"/>
              <w:bidi w:val="0"/>
              <w:spacing w:before="0" w:after="283"/>
              <w:jc w:val="left"/>
              <w:rPr/>
            </w:pPr>
            <w:r>
              <w:rPr/>
              <w:t> </w:t>
            </w:r>
          </w:p>
        </w:tc>
        <w:tc>
          <w:tcPr>
            <w:tcW w:w="169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50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50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50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4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arial" w:hAnsi="arial"/>
                <w:sz w:val="20"/>
              </w:rPr>
            </w:pPr>
            <w:r>
              <w:rPr>
                <w:rFonts w:ascii="arial" w:hAnsi="arial"/>
                <w:sz w:val="20"/>
              </w:rPr>
              <w:t>Expected dividend yield</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0.0%</w:t>
            </w:r>
          </w:p>
        </w:tc>
        <w:tc>
          <w:tcPr>
            <w:tcW w:w="64"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arial" w:hAnsi="arial"/>
                <w:sz w:val="20"/>
              </w:rPr>
            </w:pPr>
            <w:r>
              <w:rPr>
                <w:rFonts w:ascii="arial" w:hAnsi="arial"/>
                <w:sz w:val="20"/>
              </w:rPr>
              <w:t>Risk-free interest rate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4.32%</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4.24%</w:t>
            </w:r>
          </w:p>
        </w:tc>
        <w:tc>
          <w:tcPr>
            <w:tcW w:w="64"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arial" w:hAnsi="arial"/>
                <w:sz w:val="20"/>
              </w:rPr>
            </w:pPr>
            <w:r>
              <w:rPr>
                <w:rFonts w:ascii="arial" w:hAnsi="arial"/>
                <w:sz w:val="20"/>
              </w:rPr>
              <w:t>Expected volatility</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77.6%</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78.5%</w:t>
            </w:r>
          </w:p>
        </w:tc>
        <w:tc>
          <w:tcPr>
            <w:tcW w:w="64"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arial" w:hAnsi="arial"/>
                <w:sz w:val="20"/>
              </w:rPr>
            </w:pPr>
            <w:r>
              <w:rPr>
                <w:rFonts w:ascii="arial" w:hAnsi="arial"/>
                <w:sz w:val="20"/>
              </w:rPr>
              <w:t>Expected term (in years)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fair value of each stock option grant was determined by the Company using the methods and assumptions discussed below. Each of these inputs is subjective and generally requires significant judgment and estimation by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Fair value of common stock—</w:t>
            </w:r>
            <w:r>
              <w:rPr>
                <w:rFonts w:ascii="arial" w:hAnsi="arial"/>
                <w:sz w:val="20"/>
              </w:rPr>
              <w:t xml:space="preserve">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independent third parties, sales of convertible preferred stock, actual operating results and financial performance, the conditions in the industry and the economy in general, the stock price performance and volatility of comparable public companies and the lack of liquidity of the Company’s common stock, among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Expected dividend yield—</w:t>
            </w:r>
            <w:r>
              <w:rPr>
                <w:rFonts w:ascii="arial" w:hAnsi="arial"/>
                <w:sz w:val="20"/>
              </w:rPr>
              <w:t xml:space="preserve">The expected dividend yield assumption is based on the Company’s history and expectation of dividend payouts.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Risk-free rate—</w:t>
            </w:r>
            <w:r>
              <w:rPr>
                <w:rFonts w:ascii="arial" w:hAnsi="arial"/>
                <w:sz w:val="20"/>
              </w:rPr>
              <w:t xml:space="preserve">The risk-free interest rate assumption is based on the U.S. Treasury instruments, the term of which was consistent with the expected term of the Company’s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Expected volatility—</w:t>
            </w:r>
            <w:r>
              <w:rPr>
                <w:rFonts w:ascii="arial" w:hAnsi="arial"/>
                <w:sz w:val="20"/>
              </w:rPr>
              <w:t xml:space="preserve">The expected stock price volatility assumption was determined by examining the historical volatilities for comparable public companies, as the Company did not have any trading history for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Expected term—</w:t>
            </w:r>
            <w:r>
              <w:rPr>
                <w:rFonts w:ascii="arial" w:hAnsi="arial"/>
                <w:sz w:val="20"/>
              </w:rPr>
              <w:t xml:space="preserve">The expected term of the stock options is based on the simplified method. Options are considered to be exercised halfway between the average vesting date and the contractual term of each option grant. Since the Company did not have sufficient historical data upon which to estimate an expected term, the Company believes that the simplified method is an applicable methodology to estimate the expected term of the options as of the grant date.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Other grants </w:t>
      </w:r>
    </w:p>
    <w:p>
      <w:pPr>
        <w:pStyle w:val="TextBody"/>
        <w:bidi w:val="0"/>
        <w:spacing w:before="160" w:after="0"/>
        <w:jc w:val="left"/>
        <w:rPr>
          <w:rFonts w:ascii="arial" w:hAnsi="arial"/>
          <w:sz w:val="20"/>
        </w:rPr>
      </w:pPr>
      <w:r>
        <w:rPr>
          <w:rFonts w:ascii="arial" w:hAnsi="arial"/>
          <w:sz w:val="20"/>
        </w:rPr>
        <w:t xml:space="preserve">Stock activity during the year ended December 31, 2025 for grants of restricted stock awards (“RSAs”) to employees outside of the Stock Plan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9"/>
        <w:gridCol w:w="513"/>
        <w:gridCol w:w="98"/>
        <w:gridCol w:w="1191"/>
        <w:gridCol w:w="155"/>
        <w:gridCol w:w="464"/>
        <w:gridCol w:w="350"/>
        <w:gridCol w:w="1161"/>
        <w:gridCol w:w="64"/>
      </w:tblGrid>
      <w:tr>
        <w:trPr/>
        <w:tc>
          <w:tcPr>
            <w:tcW w:w="620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209" w:type="dxa"/>
            <w:tcBorders>
              <w:top w:val="single" w:sz="16" w:space="0" w:color="000000"/>
            </w:tcBorders>
            <w:tcMar>
              <w:top w:w="28" w:type="dxa"/>
            </w:tcMar>
            <w:vAlign w:val="center"/>
          </w:tcPr>
          <w:p>
            <w:pPr>
              <w:pStyle w:val="TableContents"/>
              <w:bidi w:val="0"/>
              <w:spacing w:before="0" w:after="283"/>
              <w:jc w:val="left"/>
              <w:rPr/>
            </w:pPr>
            <w:r>
              <w:rPr/>
              <w:t> </w:t>
            </w:r>
          </w:p>
        </w:tc>
        <w:tc>
          <w:tcPr>
            <w:tcW w:w="195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3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209" w:type="dxa"/>
            <w:tcBorders>
              <w:bottom w:val="single" w:sz="2" w:space="0" w:color="000000"/>
            </w:tcBorders>
            <w:tcMar>
              <w:bottom w:w="28" w:type="dxa"/>
            </w:tcMar>
            <w:vAlign w:val="bottom"/>
          </w:tcPr>
          <w:p>
            <w:pPr>
              <w:pStyle w:val="TableContents"/>
              <w:bidi w:val="0"/>
              <w:spacing w:before="0" w:after="283"/>
              <w:jc w:val="left"/>
              <w:rPr/>
            </w:pPr>
            <w:r>
              <w:rPr/>
              <w:t>  </w:t>
            </w:r>
          </w:p>
        </w:tc>
        <w:tc>
          <w:tcPr>
            <w:tcW w:w="513" w:type="dxa"/>
            <w:tcBorders>
              <w:bottom w:val="single" w:sz="2" w:space="0" w:color="000000"/>
            </w:tcBorders>
            <w:tcMar>
              <w:bottom w:w="28" w:type="dxa"/>
            </w:tcMar>
            <w:vAlign w:val="bottom"/>
          </w:tcPr>
          <w:p>
            <w:pPr>
              <w:pStyle w:val="TableContents"/>
              <w:bidi w:val="0"/>
              <w:spacing w:before="0" w:after="283"/>
              <w:jc w:val="left"/>
              <w:rPr/>
            </w:pPr>
            <w:r>
              <w:rPr/>
              <w:t>  </w:t>
            </w:r>
          </w:p>
        </w:tc>
        <w:tc>
          <w:tcPr>
            <w:tcW w:w="1289" w:type="dxa"/>
            <w:gridSpan w:val="2"/>
            <w:tcBorders>
              <w:bottom w:val="single" w:sz="2" w:space="0" w:color="000000"/>
            </w:tcBorders>
            <w:tcMar>
              <w:bottom w:w="28" w:type="dxa"/>
            </w:tcMar>
            <w:vAlign w:val="bottom"/>
          </w:tcPr>
          <w:p>
            <w:pPr>
              <w:pStyle w:val="TableContents"/>
              <w:bidi w:val="0"/>
              <w:spacing w:before="0" w:after="283"/>
              <w:jc w:val="right"/>
              <w:rPr>
                <w:b/>
              </w:rPr>
            </w:pPr>
            <w:r>
              <w:rPr>
                <w:b/>
              </w:rPr>
              <w:t>RSAs</w:t>
              <w:br/>
              <w:t>outstanding</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64" w:type="dxa"/>
            <w:tcBorders>
              <w:bottom w:val="single" w:sz="2" w:space="0" w:color="000000"/>
            </w:tcBorders>
            <w:tcMar>
              <w:bottom w:w="28" w:type="dxa"/>
            </w:tcMar>
            <w:vAlign w:val="bottom"/>
          </w:tcPr>
          <w:p>
            <w:pPr>
              <w:pStyle w:val="TableContents"/>
              <w:bidi w:val="0"/>
              <w:spacing w:before="0" w:after="283"/>
              <w:jc w:val="left"/>
              <w:rPr/>
            </w:pPr>
            <w:r>
              <w:rPr/>
              <w:t> </w:t>
            </w:r>
          </w:p>
        </w:tc>
        <w:tc>
          <w:tcPr>
            <w:tcW w:w="15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Weighted</w:t>
              <w:br/>
              <w:t>average grant</w:t>
              <w:br/>
              <w:t>date FV</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09" w:type="dxa"/>
            <w:tcBorders/>
            <w:shd w:fill="CCEEFF" w:val="clear"/>
          </w:tcPr>
          <w:p>
            <w:pPr>
              <w:pStyle w:val="TableContents"/>
              <w:bidi w:val="0"/>
              <w:spacing w:before="0" w:after="0"/>
              <w:jc w:val="left"/>
              <w:rPr>
                <w:rFonts w:ascii="arial" w:hAnsi="arial"/>
                <w:sz w:val="20"/>
              </w:rPr>
            </w:pPr>
            <w:r>
              <w:rPr>
                <w:rFonts w:ascii="arial" w:hAnsi="arial"/>
                <w:sz w:val="20"/>
              </w:rPr>
              <w:t>Outstanding at January 1, 2025</w:t>
            </w:r>
          </w:p>
        </w:tc>
        <w:tc>
          <w:tcPr>
            <w:tcW w:w="5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209" w:type="dxa"/>
            <w:tcBorders/>
          </w:tcPr>
          <w:p>
            <w:pPr>
              <w:pStyle w:val="TableContents"/>
              <w:bidi w:val="0"/>
              <w:spacing w:before="0" w:after="0"/>
              <w:jc w:val="left"/>
              <w:rPr>
                <w:rFonts w:ascii="arial" w:hAnsi="arial"/>
                <w:sz w:val="20"/>
              </w:rPr>
            </w:pPr>
            <w:r>
              <w:rPr>
                <w:rFonts w:ascii="arial" w:hAnsi="arial"/>
                <w:sz w:val="20"/>
              </w:rPr>
              <w:t>RSAs granted</w:t>
            </w:r>
          </w:p>
        </w:tc>
        <w:tc>
          <w:tcPr>
            <w:tcW w:w="5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43,423</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4.18</w:t>
            </w:r>
          </w:p>
        </w:tc>
        <w:tc>
          <w:tcPr>
            <w:tcW w:w="64" w:type="dxa"/>
            <w:tcBorders/>
            <w:vAlign w:val="bottom"/>
          </w:tcPr>
          <w:p>
            <w:pPr>
              <w:pStyle w:val="TableContents"/>
              <w:bidi w:val="0"/>
              <w:spacing w:before="0" w:after="283"/>
              <w:jc w:val="left"/>
              <w:rPr/>
            </w:pPr>
            <w:r>
              <w:rPr/>
              <w:t> </w:t>
            </w:r>
          </w:p>
        </w:tc>
      </w:tr>
      <w:tr>
        <w:trPr/>
        <w:tc>
          <w:tcPr>
            <w:tcW w:w="6209" w:type="dxa"/>
            <w:tcBorders/>
            <w:shd w:fill="CCEEFF" w:val="clear"/>
          </w:tcPr>
          <w:p>
            <w:pPr>
              <w:pStyle w:val="TableContents"/>
              <w:bidi w:val="0"/>
              <w:spacing w:before="0" w:after="0"/>
              <w:jc w:val="left"/>
              <w:rPr>
                <w:rFonts w:ascii="arial" w:hAnsi="arial"/>
                <w:sz w:val="20"/>
              </w:rPr>
            </w:pPr>
            <w:r>
              <w:rPr>
                <w:rFonts w:ascii="arial" w:hAnsi="arial"/>
                <w:sz w:val="20"/>
              </w:rPr>
              <w:t>RSAs vested</w:t>
            </w:r>
          </w:p>
        </w:tc>
        <w:tc>
          <w:tcPr>
            <w:tcW w:w="5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(8,546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4.18</w:t>
            </w:r>
          </w:p>
        </w:tc>
        <w:tc>
          <w:tcPr>
            <w:tcW w:w="64" w:type="dxa"/>
            <w:tcBorders/>
            <w:shd w:fill="CCEEFF" w:val="clear"/>
            <w:vAlign w:val="bottom"/>
          </w:tcPr>
          <w:p>
            <w:pPr>
              <w:pStyle w:val="TableContents"/>
              <w:bidi w:val="0"/>
              <w:spacing w:before="0" w:after="283"/>
              <w:jc w:val="left"/>
              <w:rPr/>
            </w:pPr>
            <w:r>
              <w:rPr/>
              <w:t> </w:t>
            </w:r>
          </w:p>
        </w:tc>
      </w:tr>
      <w:tr>
        <w:trPr/>
        <w:tc>
          <w:tcPr>
            <w:tcW w:w="6209"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09" w:type="dxa"/>
            <w:tcBorders/>
          </w:tcPr>
          <w:p>
            <w:pPr>
              <w:pStyle w:val="TableContents"/>
              <w:bidi w:val="0"/>
              <w:spacing w:before="0" w:after="0"/>
              <w:jc w:val="left"/>
              <w:rPr>
                <w:rFonts w:ascii="arial" w:hAnsi="arial"/>
                <w:sz w:val="20"/>
              </w:rPr>
            </w:pPr>
            <w:r>
              <w:rPr>
                <w:rFonts w:ascii="arial" w:hAnsi="arial"/>
                <w:sz w:val="20"/>
              </w:rPr>
              <w:t>Balances, December 31, 2025</w:t>
            </w:r>
          </w:p>
        </w:tc>
        <w:tc>
          <w:tcPr>
            <w:tcW w:w="5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34,877</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4.18</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For the year ended December 31, 2024, the total fair value of shares vested was $0.7 million and was de minimis for the year ended December 31, 2025. </w:t>
      </w:r>
    </w:p>
    <w:p>
      <w:pPr>
        <w:pStyle w:val="TextBody"/>
        <w:bidi w:val="0"/>
        <w:spacing w:before="160" w:after="0"/>
        <w:jc w:val="left"/>
        <w:rPr>
          <w:rFonts w:ascii="arial" w:hAnsi="arial"/>
          <w:sz w:val="20"/>
        </w:rPr>
      </w:pPr>
      <w:r>
        <w:rPr>
          <w:rFonts w:ascii="arial" w:hAnsi="arial"/>
          <w:sz w:val="20"/>
        </w:rPr>
        <w:t xml:space="preserve">In April 2025, the Company adopted the Employee Phantom Option Plan, which allows for the issuance of Phantom Options to purchase Phantom Shares of the Class B Common Stock of the Company. Following an initial public offering (“IPO”), Phantom Shares may be converted into common shares at a defined conversion price. Upon completion of an IPO and government registration, all outstanding Phantom Options will automatically convert into options to acquire common stock. The Company issued 20,253 phantom stock options during 2025 with a weighted-average exercise price of $4.32 per share. </w:t>
      </w:r>
    </w:p>
    <w:p>
      <w:pPr>
        <w:pStyle w:val="TextBody"/>
        <w:bidi w:val="0"/>
        <w:spacing w:before="320" w:after="0"/>
        <w:jc w:val="left"/>
        <w:rPr>
          <w:rFonts w:ascii="arial" w:hAnsi="arial"/>
          <w:b/>
          <w:sz w:val="24"/>
        </w:rPr>
      </w:pPr>
      <w:r>
        <w:rPr>
          <w:rFonts w:ascii="arial" w:hAnsi="arial"/>
          <w:b/>
          <w:sz w:val="24"/>
        </w:rPr>
        <w:t xml:space="preserve">10. Income taxes </w:t>
      </w:r>
    </w:p>
    <w:p>
      <w:pPr>
        <w:pStyle w:val="TextBody"/>
        <w:bidi w:val="0"/>
        <w:spacing w:before="160" w:after="0"/>
        <w:jc w:val="left"/>
        <w:rPr>
          <w:rFonts w:ascii="arial" w:hAnsi="arial"/>
          <w:sz w:val="20"/>
        </w:rPr>
      </w:pPr>
      <w:r>
        <w:rPr>
          <w:rFonts w:ascii="arial" w:hAnsi="arial"/>
          <w:sz w:val="20"/>
        </w:rPr>
        <w:t xml:space="preserve">The domestic and foreign components of (loss) income before provision for income taxes on continuing operations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1"/>
        <w:gridCol w:w="509"/>
        <w:gridCol w:w="211"/>
        <w:gridCol w:w="1176"/>
        <w:gridCol w:w="158"/>
      </w:tblGrid>
      <w:tr>
        <w:trPr/>
        <w:tc>
          <w:tcPr>
            <w:tcW w:w="8151"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51" w:type="dxa"/>
            <w:tcBorders>
              <w:top w:val="single" w:sz="16" w:space="0" w:color="000000"/>
            </w:tcBorders>
            <w:tcMar>
              <w:top w:w="28" w:type="dxa"/>
            </w:tcMar>
            <w:vAlign w:val="center"/>
          </w:tcPr>
          <w:p>
            <w:pPr>
              <w:pStyle w:val="TableContents"/>
              <w:bidi w:val="0"/>
              <w:spacing w:before="0" w:after="283"/>
              <w:jc w:val="left"/>
              <w:rPr/>
            </w:pPr>
            <w:r>
              <w:rPr/>
              <w:t> </w:t>
            </w:r>
          </w:p>
        </w:tc>
        <w:tc>
          <w:tcPr>
            <w:tcW w:w="205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5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387" w:type="dxa"/>
            <w:gridSpan w:val="2"/>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8151" w:type="dxa"/>
            <w:tcBorders>
              <w:bottom w:val="single" w:sz="2" w:space="0" w:color="000000"/>
            </w:tcBorders>
            <w:tcMar>
              <w:bottom w:w="28" w:type="dxa"/>
            </w:tcMar>
            <w:vAlign w:val="bottom"/>
          </w:tcPr>
          <w:p>
            <w:pPr>
              <w:pStyle w:val="TableContents"/>
              <w:bidi w:val="0"/>
              <w:spacing w:before="0" w:after="283"/>
              <w:jc w:val="left"/>
              <w:rPr/>
            </w:pPr>
            <w:r>
              <w:rPr/>
              <w:t>  </w:t>
            </w:r>
          </w:p>
        </w:tc>
        <w:tc>
          <w:tcPr>
            <w:tcW w:w="509" w:type="dxa"/>
            <w:tcBorders>
              <w:bottom w:val="single" w:sz="2" w:space="0" w:color="000000"/>
            </w:tcBorders>
            <w:tcMar>
              <w:bottom w:w="28" w:type="dxa"/>
            </w:tcMar>
            <w:vAlign w:val="bottom"/>
          </w:tcPr>
          <w:p>
            <w:pPr>
              <w:pStyle w:val="TableContents"/>
              <w:bidi w:val="0"/>
              <w:spacing w:before="0" w:after="283"/>
              <w:jc w:val="left"/>
              <w:rPr/>
            </w:pPr>
            <w:r>
              <w:rPr/>
              <w:t>  </w:t>
            </w:r>
          </w:p>
        </w:tc>
        <w:tc>
          <w:tcPr>
            <w:tcW w:w="138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51" w:type="dxa"/>
            <w:tcBorders/>
            <w:shd w:fill="CCEEFF" w:val="clear"/>
          </w:tcPr>
          <w:p>
            <w:pPr>
              <w:pStyle w:val="TableContents"/>
              <w:bidi w:val="0"/>
              <w:spacing w:before="0" w:after="0"/>
              <w:jc w:val="left"/>
              <w:rPr>
                <w:rFonts w:ascii="arial" w:hAnsi="arial"/>
                <w:sz w:val="20"/>
              </w:rPr>
            </w:pPr>
            <w:r>
              <w:rPr>
                <w:rFonts w:ascii="arial" w:hAnsi="arial"/>
                <w:sz w:val="20"/>
              </w:rPr>
              <w:t>Domestic</w:t>
            </w:r>
          </w:p>
        </w:tc>
        <w:tc>
          <w:tcPr>
            <w:tcW w:w="50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(29,784</w:t>
            </w:r>
          </w:p>
        </w:tc>
        <w:tc>
          <w:tcPr>
            <w:tcW w:w="158" w:type="dxa"/>
            <w:tcBorders/>
            <w:shd w:fill="CCEEFF" w:val="clear"/>
            <w:vAlign w:val="bottom"/>
          </w:tcPr>
          <w:p>
            <w:pPr>
              <w:pStyle w:val="TableContents"/>
              <w:bidi w:val="0"/>
              <w:spacing w:before="0" w:after="283"/>
              <w:jc w:val="left"/>
              <w:rPr/>
            </w:pPr>
            <w:r>
              <w:rPr/>
              <w:t>) </w:t>
            </w:r>
          </w:p>
        </w:tc>
      </w:tr>
      <w:tr>
        <w:trPr/>
        <w:tc>
          <w:tcPr>
            <w:tcW w:w="8151" w:type="dxa"/>
            <w:tcBorders/>
          </w:tcPr>
          <w:p>
            <w:pPr>
              <w:pStyle w:val="TableContents"/>
              <w:bidi w:val="0"/>
              <w:spacing w:before="0" w:after="0"/>
              <w:jc w:val="left"/>
              <w:rPr>
                <w:rFonts w:ascii="arial" w:hAnsi="arial"/>
                <w:sz w:val="20"/>
              </w:rPr>
            </w:pPr>
            <w:r>
              <w:rPr>
                <w:rFonts w:ascii="arial" w:hAnsi="arial"/>
                <w:sz w:val="20"/>
              </w:rPr>
              <w:t>Foreign</w:t>
            </w:r>
          </w:p>
        </w:tc>
        <w:tc>
          <w:tcPr>
            <w:tcW w:w="50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630</w:t>
            </w:r>
          </w:p>
        </w:tc>
        <w:tc>
          <w:tcPr>
            <w:tcW w:w="158" w:type="dxa"/>
            <w:tcBorders/>
            <w:vAlign w:val="bottom"/>
          </w:tcPr>
          <w:p>
            <w:pPr>
              <w:pStyle w:val="TableContents"/>
              <w:bidi w:val="0"/>
              <w:spacing w:before="0" w:after="283"/>
              <w:jc w:val="left"/>
              <w:rPr/>
            </w:pPr>
            <w:r>
              <w:rPr/>
              <w:t> </w:t>
            </w:r>
          </w:p>
        </w:tc>
      </w:tr>
      <w:tr>
        <w:trPr/>
        <w:tc>
          <w:tcPr>
            <w:tcW w:w="8151"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51" w:type="dxa"/>
            <w:tcBorders/>
            <w:shd w:fill="CCEEFF" w:val="clear"/>
          </w:tcPr>
          <w:p>
            <w:pPr>
              <w:pStyle w:val="TableContents"/>
              <w:bidi w:val="0"/>
              <w:spacing w:before="0" w:after="0"/>
              <w:jc w:val="left"/>
              <w:rPr>
                <w:rFonts w:ascii="arial" w:hAnsi="arial"/>
                <w:sz w:val="20"/>
              </w:rPr>
            </w:pPr>
            <w:r>
              <w:rPr>
                <w:rFonts w:ascii="arial" w:hAnsi="arial"/>
                <w:sz w:val="20"/>
              </w:rPr>
              <w:t>Total loss before provision for income taxes</w:t>
            </w:r>
          </w:p>
        </w:tc>
        <w:tc>
          <w:tcPr>
            <w:tcW w:w="50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(29,154</w:t>
            </w:r>
          </w:p>
        </w:tc>
        <w:tc>
          <w:tcPr>
            <w:tcW w:w="158" w:type="dxa"/>
            <w:tcBorders/>
            <w:shd w:fill="CCEEFF" w:val="clear"/>
            <w:vAlign w:val="bottom"/>
          </w:tcPr>
          <w:p>
            <w:pPr>
              <w:pStyle w:val="TableContents"/>
              <w:bidi w:val="0"/>
              <w:spacing w:before="0" w:after="283"/>
              <w:jc w:val="left"/>
              <w:rPr/>
            </w:pPr>
            <w:r>
              <w:rPr/>
              <w:t>) </w:t>
            </w:r>
          </w:p>
        </w:tc>
      </w:tr>
      <w:tr>
        <w:trPr/>
        <w:tc>
          <w:tcPr>
            <w:tcW w:w="10047" w:type="dxa"/>
            <w:gridSpan w:val="4"/>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Income (loss) before income taxes is attributed to the following geographic locations as of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42"/>
        <w:gridCol w:w="354"/>
        <w:gridCol w:w="179"/>
        <w:gridCol w:w="358"/>
        <w:gridCol w:w="73"/>
        <w:gridCol w:w="377"/>
        <w:gridCol w:w="172"/>
        <w:gridCol w:w="487"/>
        <w:gridCol w:w="63"/>
      </w:tblGrid>
      <w:tr>
        <w:trPr/>
        <w:tc>
          <w:tcPr>
            <w:tcW w:w="8142"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42" w:type="dxa"/>
            <w:tcBorders>
              <w:top w:val="single" w:sz="16" w:space="0" w:color="000000"/>
            </w:tcBorders>
            <w:tcMar>
              <w:top w:w="28" w:type="dxa"/>
            </w:tcMar>
            <w:vAlign w:val="center"/>
          </w:tcPr>
          <w:p>
            <w:pPr>
              <w:pStyle w:val="TableContents"/>
              <w:bidi w:val="0"/>
              <w:spacing w:before="0" w:after="283"/>
              <w:jc w:val="left"/>
              <w:rPr/>
            </w:pPr>
            <w:r>
              <w:rPr/>
              <w:t> </w:t>
            </w:r>
          </w:p>
        </w:tc>
        <w:tc>
          <w:tcPr>
            <w:tcW w:w="206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646"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8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5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77" w:type="dxa"/>
            <w:tcBorders>
              <w:bottom w:val="single" w:sz="2" w:space="0" w:color="000000"/>
            </w:tcBorders>
            <w:tcMar>
              <w:bottom w:w="28" w:type="dxa"/>
            </w:tcMar>
            <w:vAlign w:val="bottom"/>
          </w:tcPr>
          <w:p>
            <w:pPr>
              <w:pStyle w:val="TableContents"/>
              <w:bidi w:val="0"/>
              <w:spacing w:before="0" w:after="283"/>
              <w:jc w:val="left"/>
              <w:rPr/>
            </w:pPr>
            <w:r>
              <w:rPr/>
              <w:t>  </w:t>
            </w:r>
          </w:p>
        </w:tc>
        <w:tc>
          <w:tcPr>
            <w:tcW w:w="65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8142" w:type="dxa"/>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c>
          <w:tcPr>
            <w:tcW w:w="1099" w:type="dxa"/>
            <w:gridSpan w:val="4"/>
            <w:tcBorders/>
            <w:vAlign w:val="center"/>
          </w:tcPr>
          <w:p>
            <w:pPr>
              <w:pStyle w:val="TableContents"/>
              <w:bidi w:val="0"/>
              <w:spacing w:before="0" w:after="283"/>
              <w:jc w:val="left"/>
              <w:rPr>
                <w:sz w:val="4"/>
                <w:szCs w:val="4"/>
              </w:rPr>
            </w:pPr>
            <w:r>
              <w:rPr>
                <w:sz w:val="4"/>
                <w:szCs w:val="4"/>
              </w:rPr>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Current:</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tcPr>
          <w:p>
            <w:pPr>
              <w:pStyle w:val="TableContents"/>
              <w:bidi w:val="0"/>
              <w:spacing w:before="0" w:after="283"/>
              <w:jc w:val="left"/>
              <w:rPr>
                <w:sz w:val="4"/>
                <w:szCs w:val="4"/>
              </w:rPr>
            </w:pPr>
            <w:r>
              <w:rPr>
                <w:sz w:val="4"/>
                <w:szCs w:val="4"/>
              </w:rPr>
            </w:r>
          </w:p>
        </w:tc>
        <w:tc>
          <w:tcPr>
            <w:tcW w:w="358" w:type="dxa"/>
            <w:tcBorders/>
            <w:shd w:fill="CCEEFF" w:val="clear"/>
          </w:tcPr>
          <w:p>
            <w:pPr>
              <w:pStyle w:val="TableContents"/>
              <w:bidi w:val="0"/>
              <w:spacing w:before="0" w:after="283"/>
              <w:jc w:val="left"/>
              <w:rPr>
                <w:sz w:val="4"/>
                <w:szCs w:val="4"/>
              </w:rPr>
            </w:pPr>
            <w:r>
              <w:rPr>
                <w:sz w:val="4"/>
                <w:szCs w:val="4"/>
              </w:rPr>
            </w:r>
          </w:p>
        </w:tc>
        <w:tc>
          <w:tcPr>
            <w:tcW w:w="73" w:type="dxa"/>
            <w:tcBorders/>
            <w:shd w:fill="CCEEFF" w:val="clear"/>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sz w:val="4"/>
                <w:szCs w:val="4"/>
              </w:rPr>
            </w:pPr>
            <w:r>
              <w:rPr>
                <w:sz w:val="4"/>
                <w:szCs w:val="4"/>
              </w:rPr>
            </w:r>
          </w:p>
        </w:tc>
        <w:tc>
          <w:tcPr>
            <w:tcW w:w="487" w:type="dxa"/>
            <w:tcBorders/>
            <w:shd w:fill="CCEEFF" w:val="clear"/>
          </w:tcPr>
          <w:p>
            <w:pPr>
              <w:pStyle w:val="TableContents"/>
              <w:bidi w:val="0"/>
              <w:spacing w:before="0" w:after="283"/>
              <w:jc w:val="left"/>
              <w:rPr>
                <w:sz w:val="4"/>
                <w:szCs w:val="4"/>
              </w:rPr>
            </w:pPr>
            <w:r>
              <w:rPr>
                <w:sz w:val="4"/>
                <w:szCs w:val="4"/>
              </w:rPr>
            </w:r>
          </w:p>
        </w:tc>
        <w:tc>
          <w:tcPr>
            <w:tcW w:w="63" w:type="dxa"/>
            <w:tcBorders/>
            <w:shd w:fill="CCEEFF" w:val="clear"/>
          </w:tcPr>
          <w:p>
            <w:pPr>
              <w:pStyle w:val="TableContents"/>
              <w:bidi w:val="0"/>
              <w:spacing w:before="0" w:after="283"/>
              <w:jc w:val="left"/>
              <w:rPr>
                <w:sz w:val="4"/>
                <w:szCs w:val="4"/>
              </w:rPr>
            </w:pPr>
            <w:r>
              <w:rPr>
                <w:sz w:val="4"/>
                <w:szCs w:val="4"/>
              </w:rPr>
            </w:r>
          </w:p>
        </w:tc>
      </w:tr>
      <w:tr>
        <w:trPr/>
        <w:tc>
          <w:tcPr>
            <w:tcW w:w="8142" w:type="dxa"/>
            <w:tcBorders/>
          </w:tcPr>
          <w:p>
            <w:pPr>
              <w:pStyle w:val="TableContents"/>
              <w:bidi w:val="0"/>
              <w:spacing w:before="0" w:after="0"/>
              <w:jc w:val="left"/>
              <w:rPr>
                <w:rFonts w:ascii="arial" w:hAnsi="arial"/>
                <w:sz w:val="20"/>
              </w:rPr>
            </w:pPr>
            <w:r>
              <w:rPr>
                <w:rFonts w:ascii="arial" w:hAnsi="arial"/>
                <w:sz w:val="20"/>
              </w:rPr>
              <w:t>Federal</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358" w:type="dxa"/>
            <w:tcBorders/>
            <w:vAlign w:val="bottom"/>
          </w:tcPr>
          <w:p>
            <w:pPr>
              <w:pStyle w:val="TableContents"/>
              <w:bidi w:val="0"/>
              <w:spacing w:before="0" w:after="283"/>
              <w:jc w:val="right"/>
              <w:rPr/>
            </w:pPr>
            <w:r>
              <w:rPr/>
              <w:t>—</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State</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9</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tcPr>
          <w:p>
            <w:pPr>
              <w:pStyle w:val="TableContents"/>
              <w:bidi w:val="0"/>
              <w:spacing w:before="0" w:after="0"/>
              <w:jc w:val="left"/>
              <w:rPr>
                <w:rFonts w:ascii="arial" w:hAnsi="arial"/>
                <w:sz w:val="20"/>
              </w:rPr>
            </w:pPr>
            <w:r>
              <w:rPr>
                <w:rFonts w:ascii="arial" w:hAnsi="arial"/>
                <w:sz w:val="20"/>
              </w:rPr>
              <w:t>Foreign</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11</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656</w:t>
            </w:r>
          </w:p>
        </w:tc>
        <w:tc>
          <w:tcPr>
            <w:tcW w:w="63" w:type="dxa"/>
            <w:tcBorders/>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Total current</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13</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665</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75" w:hRule="atLeast"/>
        </w:trPr>
        <w:tc>
          <w:tcPr>
            <w:tcW w:w="8142" w:type="dxa"/>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c>
          <w:tcPr>
            <w:tcW w:w="1099" w:type="dxa"/>
            <w:gridSpan w:val="4"/>
            <w:tcBorders/>
            <w:vAlign w:val="center"/>
          </w:tcPr>
          <w:p>
            <w:pPr>
              <w:pStyle w:val="TableContents"/>
              <w:bidi w:val="0"/>
              <w:spacing w:before="0" w:after="283"/>
              <w:jc w:val="left"/>
              <w:rPr>
                <w:sz w:val="4"/>
                <w:szCs w:val="4"/>
              </w:rPr>
            </w:pPr>
            <w:r>
              <w:rPr>
                <w:sz w:val="4"/>
                <w:szCs w:val="4"/>
              </w:rPr>
            </w:r>
          </w:p>
        </w:tc>
      </w:tr>
      <w:tr>
        <w:trPr/>
        <w:tc>
          <w:tcPr>
            <w:tcW w:w="8142" w:type="dxa"/>
            <w:tcBorders/>
          </w:tcPr>
          <w:p>
            <w:pPr>
              <w:pStyle w:val="TableContents"/>
              <w:bidi w:val="0"/>
              <w:spacing w:before="0" w:after="0"/>
              <w:jc w:val="left"/>
              <w:rPr>
                <w:rFonts w:ascii="arial" w:hAnsi="arial"/>
                <w:sz w:val="20"/>
              </w:rPr>
            </w:pPr>
            <w:r>
              <w:rPr>
                <w:rFonts w:ascii="arial" w:hAnsi="arial"/>
                <w:sz w:val="20"/>
              </w:rPr>
              <w:t>Deferred:</w:t>
            </w:r>
          </w:p>
        </w:tc>
        <w:tc>
          <w:tcPr>
            <w:tcW w:w="354" w:type="dxa"/>
            <w:tcBorders/>
            <w:vAlign w:val="bottom"/>
          </w:tcPr>
          <w:p>
            <w:pPr>
              <w:pStyle w:val="TableContents"/>
              <w:bidi w:val="0"/>
              <w:spacing w:before="0" w:after="283"/>
              <w:jc w:val="left"/>
              <w:rPr/>
            </w:pPr>
            <w:r>
              <w:rPr/>
              <w:t>  </w:t>
            </w:r>
          </w:p>
        </w:tc>
        <w:tc>
          <w:tcPr>
            <w:tcW w:w="179" w:type="dxa"/>
            <w:tcBorders/>
          </w:tcPr>
          <w:p>
            <w:pPr>
              <w:pStyle w:val="TableContents"/>
              <w:bidi w:val="0"/>
              <w:spacing w:before="0" w:after="283"/>
              <w:jc w:val="left"/>
              <w:rPr>
                <w:sz w:val="4"/>
                <w:szCs w:val="4"/>
              </w:rPr>
            </w:pPr>
            <w:r>
              <w:rPr>
                <w:sz w:val="4"/>
                <w:szCs w:val="4"/>
              </w:rPr>
            </w:r>
          </w:p>
        </w:tc>
        <w:tc>
          <w:tcPr>
            <w:tcW w:w="358" w:type="dxa"/>
            <w:tcBorders/>
          </w:tcPr>
          <w:p>
            <w:pPr>
              <w:pStyle w:val="TableContents"/>
              <w:bidi w:val="0"/>
              <w:spacing w:before="0" w:after="283"/>
              <w:jc w:val="left"/>
              <w:rPr>
                <w:sz w:val="4"/>
                <w:szCs w:val="4"/>
              </w:rPr>
            </w:pPr>
            <w:r>
              <w:rPr>
                <w:sz w:val="4"/>
                <w:szCs w:val="4"/>
              </w:rPr>
            </w:r>
          </w:p>
        </w:tc>
        <w:tc>
          <w:tcPr>
            <w:tcW w:w="73" w:type="dxa"/>
            <w:tcBorders/>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sz w:val="4"/>
                <w:szCs w:val="4"/>
              </w:rPr>
            </w:pPr>
            <w:r>
              <w:rPr>
                <w:sz w:val="4"/>
                <w:szCs w:val="4"/>
              </w:rPr>
            </w:r>
          </w:p>
        </w:tc>
        <w:tc>
          <w:tcPr>
            <w:tcW w:w="487"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Federal</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tcPr>
          <w:p>
            <w:pPr>
              <w:pStyle w:val="TableContents"/>
              <w:bidi w:val="0"/>
              <w:spacing w:before="0" w:after="0"/>
              <w:jc w:val="left"/>
              <w:rPr>
                <w:rFonts w:ascii="arial" w:hAnsi="arial"/>
                <w:sz w:val="20"/>
              </w:rPr>
            </w:pPr>
            <w:r>
              <w:rPr>
                <w:rFonts w:ascii="arial" w:hAnsi="arial"/>
                <w:sz w:val="20"/>
              </w:rPr>
              <w:t>State</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Foreign</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42" w:type="dxa"/>
            <w:tcBorders/>
          </w:tcPr>
          <w:p>
            <w:pPr>
              <w:pStyle w:val="TableContents"/>
              <w:bidi w:val="0"/>
              <w:spacing w:before="0" w:after="0"/>
              <w:jc w:val="left"/>
              <w:rPr>
                <w:rFonts w:ascii="arial" w:hAnsi="arial"/>
                <w:sz w:val="20"/>
              </w:rPr>
            </w:pPr>
            <w:r>
              <w:rPr>
                <w:rFonts w:ascii="arial" w:hAnsi="arial"/>
                <w:sz w:val="20"/>
              </w:rPr>
              <w:t>Total deferred</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Total provision for income tax</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358" w:type="dxa"/>
            <w:tcBorders/>
            <w:shd w:fill="CCEEFF" w:val="clear"/>
            <w:vAlign w:val="bottom"/>
          </w:tcPr>
          <w:p>
            <w:pPr>
              <w:pStyle w:val="TableContents"/>
              <w:bidi w:val="0"/>
              <w:spacing w:before="0" w:after="283"/>
              <w:jc w:val="right"/>
              <w:rPr/>
            </w:pPr>
            <w:r>
              <w:rPr/>
              <w:t>13</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665</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Company’s effective tax rates differ from the federal statutory rate primarily due to the change in valuation allowance. The Company is adopting the amendments of ASU 2023-09 prospectively. Reconciliation between the effective tax rate on income from continuing operations and the statutory tax rate of 21%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06"/>
        <w:gridCol w:w="234"/>
        <w:gridCol w:w="153"/>
        <w:gridCol w:w="649"/>
        <w:gridCol w:w="160"/>
        <w:gridCol w:w="206"/>
        <w:gridCol w:w="60"/>
        <w:gridCol w:w="773"/>
        <w:gridCol w:w="64"/>
      </w:tblGrid>
      <w:tr>
        <w:trPr/>
        <w:tc>
          <w:tcPr>
            <w:tcW w:w="7906"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906" w:type="dxa"/>
            <w:tcBorders>
              <w:top w:val="single" w:sz="16" w:space="0" w:color="000000"/>
            </w:tcBorders>
            <w:tcMar>
              <w:top w:w="28" w:type="dxa"/>
            </w:tcMar>
            <w:vAlign w:val="center"/>
          </w:tcPr>
          <w:p>
            <w:pPr>
              <w:pStyle w:val="TableContents"/>
              <w:bidi w:val="0"/>
              <w:spacing w:before="0" w:after="283"/>
              <w:jc w:val="left"/>
              <w:rPr/>
            </w:pPr>
            <w:r>
              <w:rPr/>
              <w:t> </w:t>
            </w:r>
          </w:p>
        </w:tc>
        <w:tc>
          <w:tcPr>
            <w:tcW w:w="229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9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0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 2025</w:t>
            </w:r>
          </w:p>
        </w:tc>
        <w:tc>
          <w:tcPr>
            <w:tcW w:w="64" w:type="dxa"/>
            <w:tcBorders/>
            <w:vAlign w:val="bottom"/>
          </w:tcPr>
          <w:p>
            <w:pPr>
              <w:pStyle w:val="TableContents"/>
              <w:bidi w:val="0"/>
              <w:spacing w:before="0" w:after="283"/>
              <w:jc w:val="left"/>
              <w:rPr/>
            </w:pPr>
            <w:r>
              <w:rPr/>
              <w:t> </w:t>
            </w:r>
          </w:p>
        </w:tc>
      </w:tr>
      <w:tr>
        <w:trPr/>
        <w:tc>
          <w:tcPr>
            <w:tcW w:w="7906" w:type="dxa"/>
            <w:tcBorders>
              <w:bottom w:val="single" w:sz="2" w:space="0" w:color="000000"/>
            </w:tcBorders>
            <w:tcMar>
              <w:bottom w:w="28" w:type="dxa"/>
            </w:tcMar>
            <w:vAlign w:val="bottom"/>
          </w:tcPr>
          <w:p>
            <w:pPr>
              <w:pStyle w:val="TableContents"/>
              <w:bidi w:val="0"/>
              <w:spacing w:before="0" w:after="283"/>
              <w:jc w:val="left"/>
              <w:rPr/>
            </w:pPr>
            <w:r>
              <w:rPr/>
              <w:t>  </w:t>
            </w:r>
          </w:p>
        </w:tc>
        <w:tc>
          <w:tcPr>
            <w:tcW w:w="234" w:type="dxa"/>
            <w:tcBorders>
              <w:bottom w:val="single" w:sz="2" w:space="0" w:color="000000"/>
            </w:tcBorders>
            <w:tcMar>
              <w:bottom w:w="28" w:type="dxa"/>
            </w:tcMar>
            <w:vAlign w:val="bottom"/>
          </w:tcPr>
          <w:p>
            <w:pPr>
              <w:pStyle w:val="TableContents"/>
              <w:bidi w:val="0"/>
              <w:spacing w:before="0" w:after="283"/>
              <w:jc w:val="left"/>
              <w:rPr/>
            </w:pPr>
            <w:r>
              <w:rPr/>
              <w:t>  </w:t>
            </w:r>
          </w:p>
        </w:tc>
        <w:tc>
          <w:tcPr>
            <w:tcW w:w="802" w:type="dxa"/>
            <w:gridSpan w:val="2"/>
            <w:tcBorders>
              <w:bottom w:val="single" w:sz="2" w:space="0" w:color="000000"/>
            </w:tcBorders>
            <w:tcMar>
              <w:bottom w:w="28" w:type="dxa"/>
            </w:tcMar>
            <w:vAlign w:val="bottom"/>
          </w:tcPr>
          <w:p>
            <w:pPr>
              <w:pStyle w:val="TableContents"/>
              <w:bidi w:val="0"/>
              <w:spacing w:before="0" w:after="283"/>
              <w:jc w:val="right"/>
              <w:rPr>
                <w:b/>
              </w:rPr>
            </w:pPr>
            <w:r>
              <w:rPr>
                <w:b/>
              </w:rPr>
              <w:t>Tax</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833" w:type="dxa"/>
            <w:gridSpan w:val="2"/>
            <w:tcBorders>
              <w:bottom w:val="single" w:sz="2" w:space="0" w:color="000000"/>
            </w:tcBorders>
            <w:tcMar>
              <w:bottom w:w="28" w:type="dxa"/>
            </w:tcMar>
            <w:vAlign w:val="bottom"/>
          </w:tcPr>
          <w:p>
            <w:pPr>
              <w:pStyle w:val="TableContents"/>
              <w:bidi w:val="0"/>
              <w:spacing w:before="0" w:after="283"/>
              <w:jc w:val="right"/>
              <w:rPr>
                <w:b/>
              </w:rPr>
            </w:pPr>
            <w:r>
              <w:rPr>
                <w:b/>
              </w:rPr>
              <w:t>Rate</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Income taxes at the U.S. federal statutory tax rate</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(6,122</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21.0 %</w:t>
            </w:r>
          </w:p>
        </w:tc>
        <w:tc>
          <w:tcPr>
            <w:tcW w:w="64" w:type="dxa"/>
            <w:tcBorders/>
            <w:shd w:fill="CCEEFF" w:val="clear"/>
            <w:vAlign w:val="bottom"/>
          </w:tcPr>
          <w:p>
            <w:pPr>
              <w:pStyle w:val="TableContents"/>
              <w:bidi w:val="0"/>
              <w:spacing w:before="0" w:after="283"/>
              <w:jc w:val="left"/>
              <w:rPr/>
            </w:pPr>
            <w:r>
              <w:rPr/>
              <w:t> </w:t>
            </w:r>
          </w:p>
        </w:tc>
      </w:tr>
      <w:tr>
        <w:trPr/>
        <w:tc>
          <w:tcPr>
            <w:tcW w:w="7906" w:type="dxa"/>
            <w:tcBorders/>
          </w:tcPr>
          <w:p>
            <w:pPr>
              <w:pStyle w:val="TableContents"/>
              <w:bidi w:val="0"/>
              <w:spacing w:before="0" w:after="0"/>
              <w:jc w:val="left"/>
              <w:rPr>
                <w:rFonts w:ascii="arial" w:hAnsi="arial"/>
                <w:sz w:val="20"/>
              </w:rPr>
            </w:pPr>
            <w:r>
              <w:rPr>
                <w:rFonts w:ascii="arial" w:hAnsi="arial"/>
                <w:sz w:val="20"/>
              </w:rPr>
              <w:t>State and local income taxes, net of federal benefit(1)</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Foreign tax effects:</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649"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73"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foreign tax effects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523</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Effect of changes in tax laws and rates enacted in the current period:</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649"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73"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Effect of cross-border tax laws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Tax credits:</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649"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73"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Research and developments credit</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(2,416</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8.3 %</w:t>
            </w:r>
          </w:p>
        </w:tc>
        <w:tc>
          <w:tcPr>
            <w:tcW w:w="64" w:type="dxa"/>
            <w:tcBorders/>
            <w:vAlign w:val="bottom"/>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Changes in valuation allowance</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7,478</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(25.6)%</w:t>
            </w:r>
          </w:p>
        </w:tc>
        <w:tc>
          <w:tcPr>
            <w:tcW w:w="64" w:type="dxa"/>
            <w:tcBorders/>
            <w:shd w:fill="CCEEFF" w:val="clear"/>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Nontaxable or nondeductible items:</w:t>
            </w:r>
          </w:p>
        </w:tc>
        <w:tc>
          <w:tcPr>
            <w:tcW w:w="234" w:type="dxa"/>
            <w:tcBorders/>
            <w:vAlign w:val="bottom"/>
          </w:tcPr>
          <w:p>
            <w:pPr>
              <w:pStyle w:val="TableContents"/>
              <w:bidi w:val="0"/>
              <w:spacing w:before="0" w:after="283"/>
              <w:jc w:val="left"/>
              <w:rPr/>
            </w:pPr>
            <w:r>
              <w:rPr/>
              <w:t>  </w:t>
            </w:r>
          </w:p>
        </w:tc>
        <w:tc>
          <w:tcPr>
            <w:tcW w:w="153" w:type="dxa"/>
            <w:tcBorders/>
          </w:tcPr>
          <w:p>
            <w:pPr>
              <w:pStyle w:val="TableContents"/>
              <w:bidi w:val="0"/>
              <w:spacing w:before="0" w:after="283"/>
              <w:jc w:val="left"/>
              <w:rPr>
                <w:sz w:val="4"/>
                <w:szCs w:val="4"/>
              </w:rPr>
            </w:pPr>
            <w:r>
              <w:rPr>
                <w:sz w:val="4"/>
                <w:szCs w:val="4"/>
              </w:rPr>
            </w:r>
          </w:p>
        </w:tc>
        <w:tc>
          <w:tcPr>
            <w:tcW w:w="649" w:type="dxa"/>
            <w:tcBorders/>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3"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Stock based compensation</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198</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(0.7)%</w:t>
            </w:r>
          </w:p>
        </w:tc>
        <w:tc>
          <w:tcPr>
            <w:tcW w:w="64" w:type="dxa"/>
            <w:tcBorders/>
            <w:shd w:fill="CCEEFF" w:val="clear"/>
            <w:vAlign w:val="bottom"/>
          </w:tcPr>
          <w:p>
            <w:pPr>
              <w:pStyle w:val="TableContents"/>
              <w:bidi w:val="0"/>
              <w:spacing w:before="0" w:after="283"/>
              <w:jc w:val="left"/>
              <w:rPr/>
            </w:pPr>
            <w:r>
              <w:rPr/>
              <w:t> </w:t>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nontaxable items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74</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(0.3)%</w:t>
            </w:r>
          </w:p>
        </w:tc>
        <w:tc>
          <w:tcPr>
            <w:tcW w:w="64" w:type="dxa"/>
            <w:tcBorders/>
            <w:vAlign w:val="bottom"/>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Changes in unrecognized tax benefits</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967</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(3.3)%</w:t>
            </w:r>
          </w:p>
        </w:tc>
        <w:tc>
          <w:tcPr>
            <w:tcW w:w="64" w:type="dxa"/>
            <w:tcBorders/>
            <w:shd w:fill="CCEEFF" w:val="clear"/>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reconciling items:</w:t>
            </w:r>
          </w:p>
        </w:tc>
        <w:tc>
          <w:tcPr>
            <w:tcW w:w="234" w:type="dxa"/>
            <w:tcBorders/>
            <w:vAlign w:val="bottom"/>
          </w:tcPr>
          <w:p>
            <w:pPr>
              <w:pStyle w:val="TableContents"/>
              <w:bidi w:val="0"/>
              <w:spacing w:before="0" w:after="283"/>
              <w:jc w:val="left"/>
              <w:rPr/>
            </w:pPr>
            <w:r>
              <w:rPr/>
              <w:t>  </w:t>
            </w:r>
          </w:p>
        </w:tc>
        <w:tc>
          <w:tcPr>
            <w:tcW w:w="153" w:type="dxa"/>
            <w:tcBorders/>
          </w:tcPr>
          <w:p>
            <w:pPr>
              <w:pStyle w:val="TableContents"/>
              <w:bidi w:val="0"/>
              <w:spacing w:before="0" w:after="283"/>
              <w:jc w:val="left"/>
              <w:rPr>
                <w:sz w:val="4"/>
                <w:szCs w:val="4"/>
              </w:rPr>
            </w:pPr>
            <w:r>
              <w:rPr>
                <w:sz w:val="4"/>
                <w:szCs w:val="4"/>
              </w:rPr>
            </w:r>
          </w:p>
        </w:tc>
        <w:tc>
          <w:tcPr>
            <w:tcW w:w="649" w:type="dxa"/>
            <w:tcBorders/>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3"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Return to accrual</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0.1 %</w:t>
            </w:r>
          </w:p>
        </w:tc>
        <w:tc>
          <w:tcPr>
            <w:tcW w:w="64" w:type="dxa"/>
            <w:tcBorders/>
            <w:shd w:fill="CCEEFF" w:val="clear"/>
            <w:vAlign w:val="bottom"/>
          </w:tcPr>
          <w:p>
            <w:pPr>
              <w:pStyle w:val="TableContents"/>
              <w:bidi w:val="0"/>
              <w:spacing w:before="0" w:after="283"/>
              <w:jc w:val="left"/>
              <w:rPr/>
            </w:pPr>
            <w:r>
              <w:rPr/>
              <w:t> </w:t>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foreign tax effects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r>
        <w:trPr/>
        <w:tc>
          <w:tcPr>
            <w:tcW w:w="790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848"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665</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(1)</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The majority of the effect of state and local income taxes is from Texas.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provision for income taxes for the year ended December 31, 2024 differs from the amount computed by applying the statutory federal income tax rate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09"/>
        <w:gridCol w:w="578"/>
        <w:gridCol w:w="231"/>
        <w:gridCol w:w="1130"/>
        <w:gridCol w:w="157"/>
      </w:tblGrid>
      <w:tr>
        <w:trPr/>
        <w:tc>
          <w:tcPr>
            <w:tcW w:w="8109"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09" w:type="dxa"/>
            <w:tcBorders>
              <w:top w:val="single" w:sz="16" w:space="0" w:color="000000"/>
            </w:tcBorders>
            <w:tcMar>
              <w:top w:w="28" w:type="dxa"/>
            </w:tcMar>
            <w:vAlign w:val="center"/>
          </w:tcPr>
          <w:p>
            <w:pPr>
              <w:pStyle w:val="TableContents"/>
              <w:bidi w:val="0"/>
              <w:spacing w:before="0" w:after="283"/>
              <w:jc w:val="left"/>
              <w:rPr/>
            </w:pPr>
            <w:r>
              <w:rPr/>
              <w:t> </w:t>
            </w:r>
          </w:p>
        </w:tc>
        <w:tc>
          <w:tcPr>
            <w:tcW w:w="20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361" w:type="dxa"/>
            <w:gridSpan w:val="2"/>
            <w:tcBorders>
              <w:bottom w:val="single" w:sz="2" w:space="0" w:color="000000"/>
            </w:tcBorders>
            <w:tcMar>
              <w:bottom w:w="28" w:type="dxa"/>
            </w:tcMar>
            <w:vAlign w:val="bottom"/>
          </w:tcPr>
          <w:p>
            <w:pPr>
              <w:pStyle w:val="TableContents"/>
              <w:bidi w:val="0"/>
              <w:spacing w:before="0" w:after="283"/>
              <w:jc w:val="right"/>
              <w:rPr/>
            </w:pPr>
            <w:r>
              <w:rPr>
                <w:b/>
              </w:rPr>
              <w:t>Year ended</w:t>
            </w:r>
            <w:r>
              <w:rPr/>
              <w:br/>
            </w:r>
            <w:r>
              <w:rPr>
                <w:b/>
              </w:rPr>
              <w:t>December 31,</w:t>
            </w:r>
          </w:p>
        </w:tc>
        <w:tc>
          <w:tcPr>
            <w:tcW w:w="157" w:type="dxa"/>
            <w:tcBorders/>
            <w:vAlign w:val="bottom"/>
          </w:tcPr>
          <w:p>
            <w:pPr>
              <w:pStyle w:val="TableContents"/>
              <w:bidi w:val="0"/>
              <w:spacing w:before="0" w:after="283"/>
              <w:jc w:val="left"/>
              <w:rPr/>
            </w:pPr>
            <w:r>
              <w:rPr/>
              <w:t> </w:t>
            </w:r>
          </w:p>
        </w:tc>
      </w:tr>
      <w:tr>
        <w:trPr/>
        <w:tc>
          <w:tcPr>
            <w:tcW w:w="8109" w:type="dxa"/>
            <w:tcBorders>
              <w:bottom w:val="single" w:sz="2" w:space="0" w:color="000000"/>
            </w:tcBorders>
            <w:tcMar>
              <w:bottom w:w="28" w:type="dxa"/>
            </w:tcMar>
            <w:vAlign w:val="bottom"/>
          </w:tcPr>
          <w:p>
            <w:pPr>
              <w:pStyle w:val="TableContents"/>
              <w:bidi w:val="0"/>
              <w:spacing w:before="0" w:after="283"/>
              <w:jc w:val="left"/>
              <w:rPr/>
            </w:pPr>
            <w:r>
              <w:rPr/>
              <w:t>  </w:t>
            </w:r>
          </w:p>
        </w:tc>
        <w:tc>
          <w:tcPr>
            <w:tcW w:w="578" w:type="dxa"/>
            <w:tcBorders>
              <w:bottom w:val="single" w:sz="2" w:space="0" w:color="000000"/>
            </w:tcBorders>
            <w:tcMar>
              <w:bottom w:w="28" w:type="dxa"/>
            </w:tcMar>
            <w:vAlign w:val="bottom"/>
          </w:tcPr>
          <w:p>
            <w:pPr>
              <w:pStyle w:val="TableContents"/>
              <w:bidi w:val="0"/>
              <w:spacing w:before="0" w:after="283"/>
              <w:jc w:val="left"/>
              <w:rPr/>
            </w:pPr>
            <w:r>
              <w:rPr/>
              <w:t>  </w:t>
            </w:r>
          </w:p>
        </w:tc>
        <w:tc>
          <w:tcPr>
            <w:tcW w:w="136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Tax provision at federal statutory rate</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(9,803</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State, net of federal benefit</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(1,963</w:t>
            </w:r>
          </w:p>
        </w:tc>
        <w:tc>
          <w:tcPr>
            <w:tcW w:w="157" w:type="dxa"/>
            <w:tcBorders/>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Foreign, net of federal benefit</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11</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88</w:t>
            </w:r>
          </w:p>
        </w:tc>
        <w:tc>
          <w:tcPr>
            <w:tcW w:w="157" w:type="dxa"/>
            <w:tcBorders/>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Credits</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(829</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Other</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(504</w:t>
            </w:r>
          </w:p>
        </w:tc>
        <w:tc>
          <w:tcPr>
            <w:tcW w:w="157" w:type="dxa"/>
            <w:tcBorders/>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Change in valuation allowance</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13,013</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Total</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13</w:t>
            </w:r>
          </w:p>
        </w:tc>
        <w:tc>
          <w:tcPr>
            <w:tcW w:w="157" w:type="dxa"/>
            <w:tcBorders/>
            <w:vAlign w:val="bottom"/>
          </w:tcPr>
          <w:p>
            <w:pPr>
              <w:pStyle w:val="TableContents"/>
              <w:bidi w:val="0"/>
              <w:spacing w:before="0" w:after="283"/>
              <w:jc w:val="left"/>
              <w:rPr/>
            </w:pPr>
            <w:r>
              <w:rPr/>
              <w:t> </w:t>
            </w:r>
          </w:p>
        </w:tc>
      </w:tr>
      <w:tr>
        <w:trPr/>
        <w:tc>
          <w:tcPr>
            <w:tcW w:w="10048" w:type="dxa"/>
            <w:gridSpan w:val="4"/>
            <w:tcBorders/>
          </w:tcPr>
          <w:p>
            <w:pPr>
              <w:pStyle w:val="TableContents"/>
              <w:pBdr>
                <w:bottom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Deferred income taxes reflect the net tax effects of temporary differences between the carrying amount of assets and liabilities for financial reporting purposes and the amounts used for income tax purposes. Significant components of deferred tax assets and liabilities as of December 31, 2024 and 2025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5"/>
        <w:gridCol w:w="306"/>
        <w:gridCol w:w="140"/>
        <w:gridCol w:w="775"/>
        <w:gridCol w:w="156"/>
        <w:gridCol w:w="278"/>
        <w:gridCol w:w="140"/>
        <w:gridCol w:w="775"/>
        <w:gridCol w:w="160"/>
      </w:tblGrid>
      <w:tr>
        <w:trPr/>
        <w:tc>
          <w:tcPr>
            <w:tcW w:w="747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5" w:type="dxa"/>
            <w:tcBorders>
              <w:top w:val="single" w:sz="16" w:space="0" w:color="000000"/>
            </w:tcBorders>
            <w:tcMar>
              <w:top w:w="28" w:type="dxa"/>
            </w:tcMar>
            <w:vAlign w:val="center"/>
          </w:tcPr>
          <w:p>
            <w:pPr>
              <w:pStyle w:val="TableContents"/>
              <w:bidi w:val="0"/>
              <w:spacing w:before="0" w:after="283"/>
              <w:jc w:val="left"/>
              <w:rPr/>
            </w:pPr>
            <w:r>
              <w:rPr/>
              <w:t> </w:t>
            </w:r>
          </w:p>
        </w:tc>
        <w:tc>
          <w:tcPr>
            <w:tcW w:w="273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64"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475" w:type="dxa"/>
            <w:tcBorders>
              <w:bottom w:val="single" w:sz="2" w:space="0" w:color="000000"/>
            </w:tcBorders>
            <w:tcMar>
              <w:bottom w:w="28"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91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278" w:type="dxa"/>
            <w:tcBorders>
              <w:bottom w:val="single" w:sz="2" w:space="0" w:color="000000"/>
            </w:tcBorders>
            <w:tcMar>
              <w:bottom w:w="28" w:type="dxa"/>
            </w:tcMar>
            <w:vAlign w:val="bottom"/>
          </w:tcPr>
          <w:p>
            <w:pPr>
              <w:pStyle w:val="TableContents"/>
              <w:bidi w:val="0"/>
              <w:spacing w:before="0" w:after="283"/>
              <w:jc w:val="left"/>
              <w:rPr/>
            </w:pPr>
            <w:r>
              <w:rPr/>
              <w:t> </w:t>
            </w:r>
          </w:p>
        </w:tc>
        <w:tc>
          <w:tcPr>
            <w:tcW w:w="91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475" w:type="dxa"/>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Deferred tax assets: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arial" w:hAnsi="arial"/>
                <w:sz w:val="20"/>
              </w:rPr>
            </w:pPr>
            <w:r>
              <w:rPr>
                <w:rFonts w:ascii="arial" w:hAnsi="arial"/>
                <w:sz w:val="20"/>
              </w:rPr>
              <w:t>Net operating loss carryforwards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14,225</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24,799</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Tax credits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6,722</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9,121</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Accrual &amp; reserves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791</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1,243</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Lease liabilities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7,354</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7,523</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16,021</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12,928</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198</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513</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Total deferred tax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45,311</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56,127</w:t>
            </w:r>
          </w:p>
        </w:tc>
        <w:tc>
          <w:tcPr>
            <w:tcW w:w="160"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75" w:hRule="atLeast"/>
        </w:trPr>
        <w:tc>
          <w:tcPr>
            <w:tcW w:w="7475" w:type="dxa"/>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Deferred tax liabilities: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arial" w:hAnsi="arial"/>
                <w:sz w:val="20"/>
              </w:rPr>
            </w:pPr>
            <w:r>
              <w:rPr>
                <w:rFonts w:ascii="arial" w:hAnsi="arial"/>
                <w:sz w:val="20"/>
              </w:rPr>
              <w:t>Depreciation</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(386</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(454</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Right-of-use assets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(6,089</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(6,195</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Total deferred tax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(6,475</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(6,649</w:t>
            </w:r>
          </w:p>
        </w:tc>
        <w:tc>
          <w:tcPr>
            <w:tcW w:w="160"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Valuation allowance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(38,836</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(49,478</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Net deferred tax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10045" w:type="dxa"/>
            <w:gridSpan w:val="8"/>
            <w:tcBorders/>
          </w:tcPr>
          <w:p>
            <w:pPr>
              <w:pStyle w:val="TableContents"/>
              <w:pBdr>
                <w:bottom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Realization of deferred tax assets is dependent upon future earnings, the timing and amount of which are uncertain. Accordingly, the net deferred tax assets have been fully offset by a valuation allowance. The net valuation allowance increased by $13.0 million in the year ended December 31, 2024 and by $10.6 million in the year ended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 of December 31, 2025, the Company had net operating loss (“NOL”) carryforwards for federal tax purposes of approximately $100.5 million which do not expire. As of December 31, 2025, the Company also had NOL carryforwards for state tax purposes of approximately $87.1 million. The NOL carryforwards will expire at various dates beginning in the year 2038, unless previously utilized. </w:t>
      </w:r>
    </w:p>
    <w:p>
      <w:pPr>
        <w:pStyle w:val="TextBody"/>
        <w:bidi w:val="0"/>
        <w:spacing w:before="160" w:after="0"/>
        <w:jc w:val="left"/>
        <w:rPr>
          <w:rFonts w:ascii="arial" w:hAnsi="arial"/>
          <w:sz w:val="20"/>
        </w:rPr>
      </w:pPr>
      <w:r>
        <w:rPr>
          <w:rFonts w:ascii="arial" w:hAnsi="arial"/>
          <w:sz w:val="20"/>
        </w:rPr>
        <w:t xml:space="preserve">As of December 31, 2025, the Company has research tax credit carryforwards for federal tax purposes of approximately $9.6 million which will expire beginning in the year 2039, unless previously utilized. As of December 31, 2025, the Company also has research tax credit carryforwards for state tax purposes of approximately $7.5 million which do not expire. </w:t>
      </w:r>
    </w:p>
    <w:p>
      <w:pPr>
        <w:pStyle w:val="TextBody"/>
        <w:bidi w:val="0"/>
        <w:spacing w:before="160" w:after="0"/>
        <w:jc w:val="left"/>
        <w:rPr>
          <w:rFonts w:ascii="arial" w:hAnsi="arial"/>
          <w:sz w:val="20"/>
        </w:rPr>
      </w:pPr>
      <w:r>
        <w:rPr>
          <w:rFonts w:ascii="arial" w:hAnsi="arial"/>
          <w:sz w:val="20"/>
        </w:rPr>
        <w:t xml:space="preserve">Utilization of the NOL and tax credit carryforwards may be subject to annual limitations due to the ownership change limitation provided by the Internal Revenue Code of 1986, as amended, and similar state provisions. Events which may cause limitations in the amount of the NOLs that the Company may use in any one year include, but are not limited to, a cumulative ownership change of more than 50 percentage points over a three-year period. Any annual limitations may result in the expiration of NOL and tax credit carryforward before they are able to be utilized. </w:t>
      </w:r>
    </w:p>
    <w:p>
      <w:pPr>
        <w:pStyle w:val="TextBody"/>
        <w:bidi w:val="0"/>
        <w:spacing w:before="160" w:after="0"/>
        <w:jc w:val="left"/>
        <w:rPr>
          <w:rFonts w:ascii="arial" w:hAnsi="arial"/>
          <w:sz w:val="20"/>
        </w:rPr>
      </w:pPr>
      <w:r>
        <w:rPr>
          <w:rFonts w:ascii="arial" w:hAnsi="arial"/>
          <w:sz w:val="20"/>
        </w:rPr>
        <w:t xml:space="preserve">The Company files income tax returns in the U.S. federal, various state jurisdictions and Italy. The Company is not currently under income tax examinations by the U.S. federal, state or foreign tax authorities. Since the Company has NOLs and credits carried forward in federal and various state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NOL or tax credit carryforwards. </w:t>
      </w:r>
    </w:p>
    <w:p>
      <w:pPr>
        <w:pStyle w:val="TextBody"/>
        <w:bidi w:val="0"/>
        <w:spacing w:before="160" w:after="0"/>
        <w:jc w:val="left"/>
        <w:rPr>
          <w:rFonts w:ascii="arial" w:hAnsi="arial"/>
          <w:sz w:val="20"/>
        </w:rPr>
      </w:pPr>
      <w:r>
        <w:rPr>
          <w:rFonts w:ascii="arial" w:hAnsi="arial"/>
          <w:sz w:val="20"/>
        </w:rPr>
        <w:t xml:space="preserve">On July 4, 2025, the President signed H.R. 1, the “One Big Beautiful Bill Act,” (the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 Act also includes certain changes to the US taxation of foreign activity, including changes to foreign tax credits, GILTI, FDII, and BEAT, amongst other changes. The provision reflects the current changes to the tax law. </w:t>
      </w:r>
    </w:p>
    <w:p>
      <w:pPr>
        <w:pStyle w:val="TextBody"/>
        <w:bidi w:val="0"/>
        <w:spacing w:before="160" w:after="0"/>
        <w:jc w:val="left"/>
        <w:rPr>
          <w:rFonts w:ascii="arial" w:hAnsi="arial"/>
          <w:sz w:val="20"/>
        </w:rPr>
      </w:pPr>
      <w:r>
        <w:rPr>
          <w:rFonts w:ascii="arial" w:hAnsi="arial"/>
          <w:sz w:val="20"/>
        </w:rPr>
        <w:t xml:space="preserve">The Company had unrecognized tax benefits of $8.1 million and $9.9 million as of December 31, 2024 and 2025, all of which are offset by a full valuation allowance. These unrecognized tax benefits, if recognized, would not affect the effective tax rate. There were no interest or penalties accrued at December 31, 2024 and 2025. A reconciliation of the beginning and ending amounts of the unrecognized income tax benefits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1"/>
        <w:gridCol w:w="329"/>
        <w:gridCol w:w="140"/>
        <w:gridCol w:w="566"/>
        <w:gridCol w:w="60"/>
        <w:gridCol w:w="329"/>
        <w:gridCol w:w="140"/>
        <w:gridCol w:w="566"/>
        <w:gridCol w:w="64"/>
      </w:tblGrid>
      <w:tr>
        <w:trPr/>
        <w:tc>
          <w:tcPr>
            <w:tcW w:w="8011"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011" w:type="dxa"/>
            <w:tcBorders>
              <w:top w:val="single" w:sz="16" w:space="0" w:color="000000"/>
            </w:tcBorders>
            <w:tcMar>
              <w:top w:w="28" w:type="dxa"/>
            </w:tcMar>
            <w:vAlign w:val="center"/>
          </w:tcPr>
          <w:p>
            <w:pPr>
              <w:pStyle w:val="TableContents"/>
              <w:bidi w:val="0"/>
              <w:spacing w:before="0" w:after="283"/>
              <w:jc w:val="left"/>
              <w:rPr/>
            </w:pPr>
            <w:r>
              <w:rPr/>
              <w:t> </w:t>
            </w:r>
          </w:p>
        </w:tc>
        <w:tc>
          <w:tcPr>
            <w:tcW w:w="219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01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80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011" w:type="dxa"/>
            <w:tcBorders>
              <w:bottom w:val="single" w:sz="2" w:space="0" w:color="000000"/>
            </w:tcBorders>
            <w:tcMar>
              <w:bottom w:w="28" w:type="dxa"/>
            </w:tcMar>
            <w:vAlign w:val="bottom"/>
          </w:tcPr>
          <w:p>
            <w:pPr>
              <w:pStyle w:val="TableContents"/>
              <w:bidi w:val="0"/>
              <w:spacing w:before="0" w:after="283"/>
              <w:jc w:val="left"/>
              <w:rPr/>
            </w:pPr>
            <w:r>
              <w:rPr/>
              <w:t>  </w:t>
            </w:r>
          </w:p>
        </w:tc>
        <w:tc>
          <w:tcPr>
            <w:tcW w:w="329" w:type="dxa"/>
            <w:tcBorders>
              <w:bottom w:val="single" w:sz="2" w:space="0" w:color="000000"/>
            </w:tcBorders>
            <w:tcMar>
              <w:bottom w:w="28" w:type="dxa"/>
            </w:tcMar>
            <w:vAlign w:val="bottom"/>
          </w:tcPr>
          <w:p>
            <w:pPr>
              <w:pStyle w:val="TableContents"/>
              <w:bidi w:val="0"/>
              <w:spacing w:before="0" w:after="283"/>
              <w:jc w:val="left"/>
              <w:rPr/>
            </w:pPr>
            <w:r>
              <w:rPr/>
              <w:t>  </w:t>
            </w:r>
          </w:p>
        </w:tc>
        <w:tc>
          <w:tcPr>
            <w:tcW w:w="70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9" w:type="dxa"/>
            <w:tcBorders>
              <w:bottom w:val="single" w:sz="2" w:space="0" w:color="000000"/>
            </w:tcBorders>
            <w:tcMar>
              <w:bottom w:w="28" w:type="dxa"/>
            </w:tcMar>
            <w:vAlign w:val="bottom"/>
          </w:tcPr>
          <w:p>
            <w:pPr>
              <w:pStyle w:val="TableContents"/>
              <w:bidi w:val="0"/>
              <w:spacing w:before="0" w:after="283"/>
              <w:jc w:val="left"/>
              <w:rPr/>
            </w:pPr>
            <w:r>
              <w:rPr/>
              <w:t>  </w:t>
            </w:r>
          </w:p>
        </w:tc>
        <w:tc>
          <w:tcPr>
            <w:tcW w:w="70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011" w:type="dxa"/>
            <w:tcBorders/>
            <w:shd w:fill="CCEEFF" w:val="clear"/>
          </w:tcPr>
          <w:p>
            <w:pPr>
              <w:pStyle w:val="TableContents"/>
              <w:bidi w:val="0"/>
              <w:spacing w:before="0" w:after="0"/>
              <w:jc w:val="left"/>
              <w:rPr>
                <w:rFonts w:ascii="arial" w:hAnsi="arial"/>
                <w:sz w:val="20"/>
              </w:rPr>
            </w:pPr>
            <w:r>
              <w:rPr>
                <w:rFonts w:ascii="arial" w:hAnsi="arial"/>
                <w:sz w:val="20"/>
              </w:rPr>
              <w:t>Balance at beginning of year</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6,462</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8,100</w:t>
            </w:r>
          </w:p>
        </w:tc>
        <w:tc>
          <w:tcPr>
            <w:tcW w:w="64" w:type="dxa"/>
            <w:tcBorders/>
            <w:shd w:fill="CCEEFF" w:val="clear"/>
            <w:vAlign w:val="bottom"/>
          </w:tcPr>
          <w:p>
            <w:pPr>
              <w:pStyle w:val="TableContents"/>
              <w:bidi w:val="0"/>
              <w:spacing w:before="0" w:after="283"/>
              <w:jc w:val="left"/>
              <w:rPr/>
            </w:pPr>
            <w:r>
              <w:rPr/>
              <w:t> </w:t>
            </w:r>
          </w:p>
        </w:tc>
      </w:tr>
      <w:tr>
        <w:trPr/>
        <w:tc>
          <w:tcPr>
            <w:tcW w:w="8011" w:type="dxa"/>
            <w:tcBorders/>
          </w:tcPr>
          <w:p>
            <w:pPr>
              <w:pStyle w:val="TableContents"/>
              <w:bidi w:val="0"/>
              <w:spacing w:before="0" w:after="0"/>
              <w:jc w:val="left"/>
              <w:rPr>
                <w:rFonts w:ascii="arial" w:hAnsi="arial"/>
                <w:sz w:val="20"/>
              </w:rPr>
            </w:pPr>
            <w:r>
              <w:rPr>
                <w:rFonts w:ascii="arial" w:hAnsi="arial"/>
                <w:sz w:val="20"/>
              </w:rPr>
              <w:t>Adjustments based on tax positions related to prior years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8011" w:type="dxa"/>
            <w:tcBorders/>
            <w:shd w:fill="CCEEFF" w:val="clear"/>
          </w:tcPr>
          <w:p>
            <w:pPr>
              <w:pStyle w:val="TableContents"/>
              <w:bidi w:val="0"/>
              <w:spacing w:before="0" w:after="0"/>
              <w:jc w:val="left"/>
              <w:rPr>
                <w:rFonts w:ascii="arial" w:hAnsi="arial"/>
                <w:sz w:val="20"/>
              </w:rPr>
            </w:pPr>
            <w:r>
              <w:rPr>
                <w:rFonts w:ascii="arial" w:hAnsi="arial"/>
                <w:sz w:val="20"/>
              </w:rPr>
              <w:t>Adjustments based on tax positions related to current year</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1,638</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1,708</w:t>
            </w:r>
          </w:p>
        </w:tc>
        <w:tc>
          <w:tcPr>
            <w:tcW w:w="64" w:type="dxa"/>
            <w:tcBorders/>
            <w:shd w:fill="CCEEFF" w:val="clear"/>
            <w:vAlign w:val="bottom"/>
          </w:tcPr>
          <w:p>
            <w:pPr>
              <w:pStyle w:val="TableContents"/>
              <w:bidi w:val="0"/>
              <w:spacing w:before="0" w:after="283"/>
              <w:jc w:val="left"/>
              <w:rPr/>
            </w:pPr>
            <w:r>
              <w:rPr/>
              <w:t> </w:t>
            </w:r>
          </w:p>
        </w:tc>
      </w:tr>
      <w:tr>
        <w:trPr/>
        <w:tc>
          <w:tcPr>
            <w:tcW w:w="801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61"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11" w:type="dxa"/>
            <w:tcBorders/>
          </w:tcPr>
          <w:p>
            <w:pPr>
              <w:pStyle w:val="TableContents"/>
              <w:bidi w:val="0"/>
              <w:spacing w:before="0" w:after="0"/>
              <w:jc w:val="left"/>
              <w:rPr>
                <w:rFonts w:ascii="arial" w:hAnsi="arial"/>
                <w:sz w:val="20"/>
              </w:rPr>
            </w:pPr>
            <w:r>
              <w:rPr>
                <w:rFonts w:ascii="arial" w:hAnsi="arial"/>
                <w:sz w:val="20"/>
              </w:rPr>
              <w:t>Balance at end of year</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8,100</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9,867</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Cash paid for income taxes, net of refunds, was de minimis in all jurisdictions for the year ended December 31, 2025. </w:t>
      </w:r>
    </w:p>
    <w:p>
      <w:pPr>
        <w:pStyle w:val="TextBody"/>
        <w:bidi w:val="0"/>
        <w:spacing w:before="320" w:after="0"/>
        <w:jc w:val="left"/>
        <w:rPr>
          <w:rFonts w:ascii="arial" w:hAnsi="arial"/>
          <w:b/>
          <w:sz w:val="24"/>
        </w:rPr>
      </w:pPr>
      <w:r>
        <w:rPr>
          <w:rFonts w:ascii="arial" w:hAnsi="arial"/>
          <w:b/>
          <w:sz w:val="24"/>
        </w:rPr>
        <w:t xml:space="preserve">11. 401(k) Retirement Savings Plan </w:t>
      </w:r>
    </w:p>
    <w:p>
      <w:pPr>
        <w:pStyle w:val="TextBody"/>
        <w:bidi w:val="0"/>
        <w:spacing w:before="160" w:after="0"/>
        <w:jc w:val="left"/>
        <w:rPr>
          <w:rFonts w:ascii="arial" w:hAnsi="arial"/>
          <w:sz w:val="20"/>
        </w:rPr>
      </w:pPr>
      <w:r>
        <w:rPr>
          <w:rFonts w:ascii="arial" w:hAnsi="arial"/>
          <w:sz w:val="20"/>
        </w:rPr>
        <w:t xml:space="preserve">The Company sponsors a 401(k) defined contribution plan covering eligible employees who elect to participate. The Company is allowed to make discretionary profit sharing and 401(k) matching contributions as defined in the plan and as approved by the Board of Directors. Starting on January 1, 2023, the Company is matching 25% of employee contribution up to 6% of employee compensation through semi-monthly payroll. In the years ended December 31, 2024 and 2025, the Company made a total 401(k) matching contribution of $0.2 million and $0.3 million. </w:t>
      </w:r>
    </w:p>
    <w:p>
      <w:pPr>
        <w:pStyle w:val="TextBody"/>
        <w:bidi w:val="0"/>
        <w:spacing w:before="320" w:after="0"/>
        <w:jc w:val="left"/>
        <w:rPr>
          <w:rFonts w:ascii="arial" w:hAnsi="arial"/>
          <w:b/>
          <w:sz w:val="24"/>
        </w:rPr>
      </w:pPr>
      <w:r>
        <w:rPr>
          <w:rFonts w:ascii="arial" w:hAnsi="arial"/>
          <w:b/>
          <w:sz w:val="24"/>
        </w:rPr>
        <w:t xml:space="preserve">12. Commitments and contingencies </w:t>
      </w:r>
    </w:p>
    <w:p>
      <w:pPr>
        <w:pStyle w:val="TextBody"/>
        <w:bidi w:val="0"/>
        <w:spacing w:before="160" w:after="0"/>
        <w:jc w:val="left"/>
        <w:rPr>
          <w:rFonts w:ascii="arial" w:hAnsi="arial"/>
          <w:b/>
          <w:i/>
          <w:sz w:val="20"/>
        </w:rPr>
      </w:pPr>
      <w:r>
        <w:rPr>
          <w:rFonts w:ascii="arial" w:hAnsi="arial"/>
          <w:b/>
          <w:i/>
          <w:sz w:val="20"/>
        </w:rPr>
        <w:t xml:space="preserve">Legal proceedings </w:t>
      </w:r>
    </w:p>
    <w:p>
      <w:pPr>
        <w:pStyle w:val="TextBody"/>
        <w:bidi w:val="0"/>
        <w:spacing w:before="160" w:after="0"/>
        <w:jc w:val="left"/>
        <w:rPr>
          <w:rFonts w:ascii="arial" w:hAnsi="arial"/>
          <w:sz w:val="20"/>
        </w:rPr>
      </w:pPr>
      <w:r>
        <w:rPr>
          <w:rFonts w:ascii="arial" w:hAnsi="arial"/>
          <w:i/>
          <w:sz w:val="20"/>
        </w:rPr>
        <w:t>Olink Proteomics AB and Olink Proteomics, Inc. v. Alamar Biosciences, Inc</w:t>
      </w:r>
      <w:r>
        <w:rPr>
          <w:rFonts w:ascii="arial" w:hAnsi="arial"/>
          <w:sz w:val="20"/>
        </w:rPr>
        <w:t xml:space="preserve">., United States District Court for the District of Delaware, Case No. 1:23-cv-1303-MN. Olink Proteomics AB and Olink Proteomics, Inc. commenced the litigation on November 15, 2023. The complaint alleges infringement of U.S. Patent No. 7,883,848 by Alamar’s manufacture, use, offer for sale, sale, marketing and/or distribution of its Nucleic acid Linked Immuno-Sandwich Assay (“NULISA”) platform used with or without its ARGO system. The asserted patent relates to a method for detecting functional interactions between at least two molecules of interest. Alamar filed a motion to dismiss, which the Court granted on February 11, 2025, without prejudice to Olink filing an amended complaint. The case is currently stayed. The parties must file a joint status report within 30 days of the Final Written Decision in IPR2024-01353, which was issued on March 4, 2026. </w:t>
      </w:r>
    </w:p>
    <w:p>
      <w:pPr>
        <w:pStyle w:val="TextBody"/>
        <w:bidi w:val="0"/>
        <w:spacing w:before="160" w:after="0"/>
        <w:jc w:val="left"/>
        <w:rPr>
          <w:rFonts w:ascii="arial" w:hAnsi="arial"/>
          <w:sz w:val="20"/>
        </w:rPr>
      </w:pPr>
      <w:r>
        <w:rPr>
          <w:rFonts w:ascii="arial" w:hAnsi="arial"/>
          <w:i/>
          <w:sz w:val="20"/>
        </w:rPr>
        <w:t>Alamar Biosciences, Inc. v. Olink Proteomics AB</w:t>
      </w:r>
      <w:r>
        <w:rPr>
          <w:rFonts w:ascii="arial" w:hAnsi="arial"/>
          <w:sz w:val="20"/>
        </w:rPr>
        <w:t xml:space="preserve">, United States Patent and Trademark Office, Patent Trial and Appeal Board, Case No. IPR2024-01353. On August 23, 2024, Alamar filed a Petition for Inter Partes Review challenging all claims of U.S. Patent No. 7,883,848. The PTAB instituted trial on all grounds raised in Alamar’s Petition. On March 4, 2026, the PTAB issued a Final Written Decision finding that no claims were unpatentable. Alamar has 30 days from this decision to seek Rehearing, 30 days to seek Director Review, and 63 days to file a notice of appeal to the United States Court of Appeals for the Federal Circuit. As of December 31, 2024 and 2025, losses are not probable or estimable. </w:t>
      </w:r>
    </w:p>
    <w:p>
      <w:pPr>
        <w:pStyle w:val="TextBody"/>
        <w:bidi w:val="0"/>
        <w:spacing w:before="160" w:after="0"/>
        <w:jc w:val="left"/>
        <w:rPr>
          <w:rFonts w:ascii="arial" w:hAnsi="arial"/>
          <w:b/>
          <w:i/>
          <w:sz w:val="20"/>
        </w:rPr>
      </w:pPr>
      <w:r>
        <w:rPr>
          <w:rFonts w:ascii="arial" w:hAnsi="arial"/>
          <w:b/>
          <w:i/>
          <w:sz w:val="20"/>
        </w:rPr>
        <w:t xml:space="preserve">Indemnifications </w:t>
      </w:r>
    </w:p>
    <w:p>
      <w:pPr>
        <w:pStyle w:val="TextBody"/>
        <w:bidi w:val="0"/>
        <w:spacing w:before="160" w:after="0"/>
        <w:jc w:val="left"/>
        <w:rPr>
          <w:rFonts w:ascii="arial" w:hAnsi="arial"/>
          <w:sz w:val="20"/>
        </w:rPr>
      </w:pPr>
      <w:r>
        <w:rPr>
          <w:rFonts w:ascii="arial" w:hAnsi="arial"/>
          <w:sz w:val="20"/>
        </w:rPr>
        <w:t xml:space="preserve">In the ordinary course of business, the Company enters into agreements that may include indemnification provisions. The Company indemnifies its officers and directors for certain events or occurrences while the officer or director is or was serving in such a capacity. In some cases, the indemnification will continue after the termination of the agreement. </w:t>
      </w:r>
    </w:p>
    <w:p>
      <w:pPr>
        <w:pStyle w:val="TextBody"/>
        <w:bidi w:val="0"/>
        <w:spacing w:before="160" w:after="0"/>
        <w:jc w:val="left"/>
        <w:rPr>
          <w:rFonts w:ascii="arial" w:hAnsi="arial"/>
          <w:sz w:val="20"/>
        </w:rPr>
      </w:pPr>
      <w:r>
        <w:rPr>
          <w:rFonts w:ascii="arial" w:hAnsi="arial"/>
          <w:sz w:val="20"/>
        </w:rPr>
        <w:t xml:space="preserve">The Company also agreed to indemnify the investors against certain losses, claims or liabilities due to certain statements, omissions or violations by the Company if Company securities held by the investors are included in a registration statement. The maximum potential amount of future payments that the Company could be required to make under these provisions is not determinable. The Company is not currently aware of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indemnification claims. Accordingly, the Company has not recorded any liabilities for these indemnification rights and agreements as of December 31, 2024 and 2025. </w:t>
      </w:r>
    </w:p>
    <w:p>
      <w:pPr>
        <w:pStyle w:val="TextBody"/>
        <w:bidi w:val="0"/>
        <w:spacing w:before="320" w:after="0"/>
        <w:jc w:val="left"/>
        <w:rPr>
          <w:rFonts w:ascii="arial" w:hAnsi="arial"/>
          <w:b/>
          <w:sz w:val="24"/>
        </w:rPr>
      </w:pPr>
      <w:r>
        <w:rPr>
          <w:rFonts w:ascii="arial" w:hAnsi="arial"/>
          <w:b/>
          <w:sz w:val="24"/>
        </w:rPr>
        <w:t xml:space="preserve">13. Leases </w:t>
      </w:r>
    </w:p>
    <w:p>
      <w:pPr>
        <w:pStyle w:val="TextBody"/>
        <w:bidi w:val="0"/>
        <w:spacing w:before="160" w:after="0"/>
        <w:jc w:val="left"/>
        <w:rPr>
          <w:rFonts w:ascii="arial" w:hAnsi="arial"/>
          <w:sz w:val="20"/>
        </w:rPr>
      </w:pPr>
      <w:r>
        <w:rPr>
          <w:rFonts w:ascii="arial" w:hAnsi="arial"/>
          <w:sz w:val="20"/>
        </w:rPr>
        <w:t xml:space="preserve">In November 2021, the Company entered into a noncancelable operating lease of a certain new facility. The new lease, as amended, commenced in January 2022 and expires in January 2034. Starting in June 2023, a portion of this new facility was subleased to Attovia Therapeutics, Inc. until March 2025 (“Bayside Sublease”). See Note 14—Investment in Attovia and Related Party Transactions for additional information. </w:t>
      </w:r>
    </w:p>
    <w:p>
      <w:pPr>
        <w:pStyle w:val="TextBody"/>
        <w:bidi w:val="0"/>
        <w:spacing w:before="160" w:after="0"/>
        <w:jc w:val="left"/>
        <w:rPr>
          <w:rFonts w:ascii="arial" w:hAnsi="arial"/>
          <w:sz w:val="20"/>
        </w:rPr>
      </w:pPr>
      <w:r>
        <w:rPr>
          <w:rFonts w:ascii="arial" w:hAnsi="arial"/>
          <w:sz w:val="20"/>
        </w:rPr>
        <w:t xml:space="preserve">The Company leased its former facility under a noncancelable operating lease, which expired in October 2025. Subsequent to moving from this facility in January 2022, the Company has been subleasing it to a sublessee in its entirety until July 31, 2025 (“Landing Sublease”). In 2024, the sublessee of Landing Sublease defaulted on the sublease agreement. The sublessee and the Company entered into a settlement agreement in January 2025 for the remaining term of the Landing Sublease. The sublessee paid $0.2 million to the Company in February 2025 plus a reduction of $32,500 of the security deposit as the lump sum payment for the rent and other lease expenses of the remaining term of the sublease. </w:t>
      </w:r>
    </w:p>
    <w:p>
      <w:pPr>
        <w:pStyle w:val="TextBody"/>
        <w:bidi w:val="0"/>
        <w:spacing w:before="160" w:after="0"/>
        <w:jc w:val="left"/>
        <w:rPr>
          <w:rFonts w:ascii="arial" w:hAnsi="arial"/>
          <w:sz w:val="20"/>
        </w:rPr>
      </w:pPr>
      <w:r>
        <w:rPr>
          <w:rFonts w:ascii="arial" w:hAnsi="arial"/>
          <w:sz w:val="20"/>
        </w:rPr>
        <w:t xml:space="preserve">During 2025, the Company entered into leases for various international facilities with lease terms extending into 2030. As of December 31, 2025, the Company has one lease which has not yet commenced or been recognized, since the facility is not yet available for the Company’s use. Fixed lease payments for the lease which is expected to commence in the first quarter of 2026 are $1.3 million over the five-year lease term. </w:t>
      </w:r>
    </w:p>
    <w:p>
      <w:pPr>
        <w:pStyle w:val="TextBody"/>
        <w:bidi w:val="0"/>
        <w:spacing w:before="160" w:after="0"/>
        <w:jc w:val="left"/>
        <w:rPr>
          <w:rFonts w:ascii="arial" w:hAnsi="arial"/>
          <w:sz w:val="20"/>
        </w:rPr>
      </w:pPr>
      <w:r>
        <w:rPr>
          <w:rFonts w:ascii="arial" w:hAnsi="arial"/>
          <w:sz w:val="20"/>
        </w:rPr>
        <w:t>The weighted-average discount rate of the Company’s operating leases was 11.5% as of December 31, 2025. The weighted-average remaining terms of the operating leases as of December 31, 2025 were 8.0 years.</w:t>
      </w:r>
    </w:p>
    <w:p>
      <w:pPr>
        <w:pStyle w:val="TextBody"/>
        <w:bidi w:val="0"/>
        <w:spacing w:before="160" w:after="0"/>
        <w:jc w:val="left"/>
        <w:rPr>
          <w:rFonts w:ascii="arial" w:hAnsi="arial"/>
          <w:sz w:val="20"/>
        </w:rPr>
      </w:pPr>
      <w:r>
        <w:rPr>
          <w:rFonts w:ascii="arial" w:hAnsi="arial"/>
          <w:sz w:val="20"/>
        </w:rPr>
        <w:t xml:space="preserve">During the years ended December 31, 2024 and 2025, total lease expense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42"/>
        <w:gridCol w:w="329"/>
        <w:gridCol w:w="140"/>
        <w:gridCol w:w="572"/>
        <w:gridCol w:w="155"/>
        <w:gridCol w:w="296"/>
        <w:gridCol w:w="140"/>
        <w:gridCol w:w="572"/>
        <w:gridCol w:w="159"/>
      </w:tblGrid>
      <w:tr>
        <w:trPr/>
        <w:tc>
          <w:tcPr>
            <w:tcW w:w="7842"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842" w:type="dxa"/>
            <w:tcBorders>
              <w:top w:val="single" w:sz="16" w:space="0" w:color="000000"/>
            </w:tcBorders>
            <w:tcMar>
              <w:top w:w="28" w:type="dxa"/>
            </w:tcMar>
            <w:vAlign w:val="center"/>
          </w:tcPr>
          <w:p>
            <w:pPr>
              <w:pStyle w:val="TableContents"/>
              <w:bidi w:val="0"/>
              <w:spacing w:before="0" w:after="283"/>
              <w:jc w:val="left"/>
              <w:rPr/>
            </w:pPr>
            <w:r>
              <w:rPr/>
              <w:t> </w:t>
            </w:r>
          </w:p>
        </w:tc>
        <w:tc>
          <w:tcPr>
            <w:tcW w:w="236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84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875"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7842" w:type="dxa"/>
            <w:tcBorders>
              <w:bottom w:val="single" w:sz="2" w:space="0" w:color="000000"/>
            </w:tcBorders>
            <w:tcMar>
              <w:bottom w:w="28" w:type="dxa"/>
            </w:tcMar>
            <w:vAlign w:val="bottom"/>
          </w:tcPr>
          <w:p>
            <w:pPr>
              <w:pStyle w:val="TableContents"/>
              <w:bidi w:val="0"/>
              <w:spacing w:before="0" w:after="283"/>
              <w:jc w:val="left"/>
              <w:rPr/>
            </w:pPr>
            <w:r>
              <w:rPr/>
              <w:t>  </w:t>
            </w:r>
          </w:p>
        </w:tc>
        <w:tc>
          <w:tcPr>
            <w:tcW w:w="329" w:type="dxa"/>
            <w:tcBorders>
              <w:bottom w:val="single" w:sz="2" w:space="0" w:color="000000"/>
            </w:tcBorders>
            <w:tcMar>
              <w:bottom w:w="28" w:type="dxa"/>
            </w:tcMar>
            <w:vAlign w:val="bottom"/>
          </w:tcPr>
          <w:p>
            <w:pPr>
              <w:pStyle w:val="TableContents"/>
              <w:bidi w:val="0"/>
              <w:spacing w:before="0" w:after="283"/>
              <w:jc w:val="left"/>
              <w:rPr/>
            </w:pPr>
            <w:r>
              <w:rPr/>
              <w:t>  </w:t>
            </w:r>
          </w:p>
        </w:tc>
        <w:tc>
          <w:tcPr>
            <w:tcW w:w="71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96" w:type="dxa"/>
            <w:tcBorders>
              <w:bottom w:val="single" w:sz="2" w:space="0" w:color="000000"/>
            </w:tcBorders>
            <w:tcMar>
              <w:bottom w:w="28" w:type="dxa"/>
            </w:tcMar>
            <w:vAlign w:val="bottom"/>
          </w:tcPr>
          <w:p>
            <w:pPr>
              <w:pStyle w:val="TableContents"/>
              <w:bidi w:val="0"/>
              <w:spacing w:before="0" w:after="283"/>
              <w:jc w:val="left"/>
              <w:rPr/>
            </w:pPr>
            <w:r>
              <w:rPr/>
              <w:t> </w:t>
            </w:r>
          </w:p>
        </w:tc>
        <w:tc>
          <w:tcPr>
            <w:tcW w:w="71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842" w:type="dxa"/>
            <w:tcBorders/>
            <w:shd w:fill="CCEEFF" w:val="clear"/>
          </w:tcPr>
          <w:p>
            <w:pPr>
              <w:pStyle w:val="TableContents"/>
              <w:bidi w:val="0"/>
              <w:spacing w:before="0" w:after="0"/>
              <w:jc w:val="left"/>
              <w:rPr>
                <w:rFonts w:ascii="arial" w:hAnsi="arial"/>
                <w:sz w:val="20"/>
              </w:rPr>
            </w:pPr>
            <w:r>
              <w:rPr>
                <w:rFonts w:ascii="arial" w:hAnsi="arial"/>
                <w:sz w:val="20"/>
              </w:rPr>
              <w:t>Operating lease expense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5,591</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5,694</w:t>
            </w:r>
          </w:p>
        </w:tc>
        <w:tc>
          <w:tcPr>
            <w:tcW w:w="159" w:type="dxa"/>
            <w:tcBorders/>
            <w:shd w:fill="CCEEFF" w:val="clear"/>
            <w:vAlign w:val="bottom"/>
          </w:tcPr>
          <w:p>
            <w:pPr>
              <w:pStyle w:val="TableContents"/>
              <w:bidi w:val="0"/>
              <w:spacing w:before="0" w:after="283"/>
              <w:jc w:val="left"/>
              <w:rPr/>
            </w:pPr>
            <w:r>
              <w:rPr/>
              <w:t> </w:t>
            </w:r>
          </w:p>
        </w:tc>
      </w:tr>
      <w:tr>
        <w:trPr/>
        <w:tc>
          <w:tcPr>
            <w:tcW w:w="7842" w:type="dxa"/>
            <w:tcBorders/>
          </w:tcPr>
          <w:p>
            <w:pPr>
              <w:pStyle w:val="TableContents"/>
              <w:bidi w:val="0"/>
              <w:spacing w:before="0" w:after="0"/>
              <w:jc w:val="left"/>
              <w:rPr>
                <w:rFonts w:ascii="arial" w:hAnsi="arial"/>
                <w:sz w:val="20"/>
              </w:rPr>
            </w:pPr>
            <w:r>
              <w:rPr>
                <w:rFonts w:ascii="arial" w:hAnsi="arial"/>
                <w:sz w:val="20"/>
              </w:rPr>
              <w:t>Variable lease costs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1,299</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1,372</w:t>
            </w:r>
          </w:p>
        </w:tc>
        <w:tc>
          <w:tcPr>
            <w:tcW w:w="159" w:type="dxa"/>
            <w:tcBorders/>
            <w:vAlign w:val="bottom"/>
          </w:tcPr>
          <w:p>
            <w:pPr>
              <w:pStyle w:val="TableContents"/>
              <w:bidi w:val="0"/>
              <w:spacing w:before="0" w:after="283"/>
              <w:jc w:val="left"/>
              <w:rPr/>
            </w:pPr>
            <w:r>
              <w:rPr/>
              <w:t> </w:t>
            </w:r>
          </w:p>
        </w:tc>
      </w:tr>
      <w:tr>
        <w:trPr/>
        <w:tc>
          <w:tcPr>
            <w:tcW w:w="7842" w:type="dxa"/>
            <w:tcBorders/>
            <w:shd w:fill="CCEEFF" w:val="clear"/>
          </w:tcPr>
          <w:p>
            <w:pPr>
              <w:pStyle w:val="TableContents"/>
              <w:bidi w:val="0"/>
              <w:spacing w:before="0" w:after="0"/>
              <w:jc w:val="left"/>
              <w:rPr>
                <w:rFonts w:ascii="arial" w:hAnsi="arial"/>
                <w:sz w:val="20"/>
              </w:rPr>
            </w:pPr>
            <w:r>
              <w:rPr>
                <w:rFonts w:ascii="arial" w:hAnsi="arial"/>
                <w:sz w:val="20"/>
              </w:rPr>
              <w:t>Sublease income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(968</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(486</w:t>
            </w:r>
          </w:p>
        </w:tc>
        <w:tc>
          <w:tcPr>
            <w:tcW w:w="159" w:type="dxa"/>
            <w:tcBorders/>
            <w:shd w:fill="CCEEFF" w:val="clear"/>
            <w:vAlign w:val="bottom"/>
          </w:tcPr>
          <w:p>
            <w:pPr>
              <w:pStyle w:val="TableContents"/>
              <w:bidi w:val="0"/>
              <w:spacing w:before="0" w:after="283"/>
              <w:jc w:val="left"/>
              <w:rPr/>
            </w:pPr>
            <w:r>
              <w:rPr/>
              <w:t>) </w:t>
            </w:r>
          </w:p>
        </w:tc>
      </w:tr>
      <w:tr>
        <w:trPr/>
        <w:tc>
          <w:tcPr>
            <w:tcW w:w="7842"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35"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42" w:type="dxa"/>
            <w:tcBorders/>
          </w:tcPr>
          <w:p>
            <w:pPr>
              <w:pStyle w:val="TableContents"/>
              <w:bidi w:val="0"/>
              <w:spacing w:before="0" w:after="0"/>
              <w:jc w:val="left"/>
              <w:rPr>
                <w:rFonts w:ascii="arial" w:hAnsi="arial"/>
                <w:sz w:val="20"/>
              </w:rPr>
            </w:pPr>
            <w:r>
              <w:rPr>
                <w:rFonts w:ascii="arial" w:hAnsi="arial"/>
                <w:sz w:val="20"/>
              </w:rPr>
              <w:t>Total lease expense</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5,922</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6,580</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Variable lease costs are comprised primarily of the Company’s share of operating expenses, property taxes, and insurance payable to the landlord and are classified as lease cost due to the Company’s election to not separate lease and non-lease components. </w:t>
      </w:r>
    </w:p>
    <w:p>
      <w:pPr>
        <w:pStyle w:val="TextBody"/>
        <w:bidi w:val="0"/>
        <w:spacing w:before="160" w:after="0"/>
        <w:jc w:val="left"/>
        <w:rPr>
          <w:rFonts w:ascii="arial" w:hAnsi="arial"/>
          <w:sz w:val="20"/>
        </w:rPr>
      </w:pPr>
      <w:r>
        <w:rPr>
          <w:rFonts w:ascii="arial" w:hAnsi="arial"/>
          <w:sz w:val="20"/>
        </w:rPr>
        <w:t xml:space="preserve">The sublease did not include variable non-lease payments. There are no future sublease payments as of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 of December 31, 2025, maturities of the Company’s operating lease liabilities under noncancelable leases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63"/>
        <w:gridCol w:w="328"/>
        <w:gridCol w:w="165"/>
        <w:gridCol w:w="892"/>
        <w:gridCol w:w="157"/>
      </w:tblGrid>
      <w:tr>
        <w:trPr/>
        <w:tc>
          <w:tcPr>
            <w:tcW w:w="8663"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663" w:type="dxa"/>
            <w:tcBorders>
              <w:top w:val="single" w:sz="16" w:space="0" w:color="000000"/>
            </w:tcBorders>
            <w:tcMar>
              <w:top w:w="28" w:type="dxa"/>
            </w:tcMar>
            <w:vAlign w:val="center"/>
          </w:tcPr>
          <w:p>
            <w:pPr>
              <w:pStyle w:val="TableContents"/>
              <w:bidi w:val="0"/>
              <w:spacing w:before="0" w:after="283"/>
              <w:jc w:val="left"/>
              <w:rPr/>
            </w:pPr>
            <w:r>
              <w:rPr/>
              <w:t> </w:t>
            </w:r>
          </w:p>
        </w:tc>
        <w:tc>
          <w:tcPr>
            <w:tcW w:w="1542"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6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8" w:type="dxa"/>
            <w:tcBorders>
              <w:bottom w:val="single" w:sz="2" w:space="0" w:color="000000"/>
            </w:tcBorders>
            <w:tcMar>
              <w:bottom w:w="28" w:type="dxa"/>
            </w:tcMar>
            <w:vAlign w:val="bottom"/>
          </w:tcPr>
          <w:p>
            <w:pPr>
              <w:pStyle w:val="TableContents"/>
              <w:bidi w:val="0"/>
              <w:spacing w:before="0" w:after="283"/>
              <w:jc w:val="left"/>
              <w:rPr/>
            </w:pPr>
            <w:r>
              <w:rPr/>
              <w:t>  </w:t>
            </w:r>
          </w:p>
        </w:tc>
        <w:tc>
          <w:tcPr>
            <w:tcW w:w="1057"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Operating</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2026</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5,569</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2027</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5,697</w:t>
            </w:r>
          </w:p>
        </w:tc>
        <w:tc>
          <w:tcPr>
            <w:tcW w:w="157" w:type="dxa"/>
            <w:tcBorders/>
            <w:vAlign w:val="bottom"/>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2028</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5,849</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2029</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6,007</w:t>
            </w:r>
          </w:p>
        </w:tc>
        <w:tc>
          <w:tcPr>
            <w:tcW w:w="157" w:type="dxa"/>
            <w:tcBorders/>
            <w:vAlign w:val="bottom"/>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2030</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6,117</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Thereafter</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19,715</w:t>
            </w:r>
          </w:p>
        </w:tc>
        <w:tc>
          <w:tcPr>
            <w:tcW w:w="157" w:type="dxa"/>
            <w:tcBorders/>
            <w:vAlign w:val="bottom"/>
          </w:tcPr>
          <w:p>
            <w:pPr>
              <w:pStyle w:val="TableContents"/>
              <w:bidi w:val="0"/>
              <w:spacing w:before="0" w:after="283"/>
              <w:jc w:val="left"/>
              <w:rPr/>
            </w:pPr>
            <w:r>
              <w:rPr/>
              <w:t> </w:t>
            </w:r>
          </w:p>
        </w:tc>
      </w:tr>
      <w:tr>
        <w:trPr/>
        <w:tc>
          <w:tcPr>
            <w:tcW w:w="866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Total undiscounted lease payments</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48,954</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Less imputed interest</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(17,291</w:t>
            </w:r>
          </w:p>
        </w:tc>
        <w:tc>
          <w:tcPr>
            <w:tcW w:w="157" w:type="dxa"/>
            <w:tcBorders/>
            <w:vAlign w:val="bottom"/>
          </w:tcPr>
          <w:p>
            <w:pPr>
              <w:pStyle w:val="TableContents"/>
              <w:bidi w:val="0"/>
              <w:spacing w:before="0" w:after="283"/>
              <w:jc w:val="left"/>
              <w:rPr/>
            </w:pPr>
            <w:r>
              <w:rPr/>
              <w:t>) </w:t>
            </w:r>
          </w:p>
        </w:tc>
      </w:tr>
      <w:tr>
        <w:trPr/>
        <w:tc>
          <w:tcPr>
            <w:tcW w:w="866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Present value of operating lease liabilities</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31,663</w:t>
            </w:r>
          </w:p>
        </w:tc>
        <w:tc>
          <w:tcPr>
            <w:tcW w:w="157" w:type="dxa"/>
            <w:tcBorders/>
            <w:shd w:fill="CCEEFF" w:val="clear"/>
            <w:vAlign w:val="bottom"/>
          </w:tcPr>
          <w:p>
            <w:pPr>
              <w:pStyle w:val="TableContents"/>
              <w:bidi w:val="0"/>
              <w:spacing w:before="0" w:after="283"/>
              <w:jc w:val="left"/>
              <w:rPr/>
            </w:pPr>
            <w:r>
              <w:rPr/>
              <w:t> </w:t>
            </w:r>
          </w:p>
        </w:tc>
      </w:tr>
      <w:tr>
        <w:trPr/>
        <w:tc>
          <w:tcPr>
            <w:tcW w:w="10048" w:type="dxa"/>
            <w:gridSpan w:val="4"/>
            <w:tcBorders/>
          </w:tcPr>
          <w:p>
            <w:pPr>
              <w:pStyle w:val="TableContents"/>
              <w:pBdr>
                <w:bottom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14. Investment in Attovia and related party transactions </w:t>
      </w:r>
    </w:p>
    <w:p>
      <w:pPr>
        <w:pStyle w:val="TextBody"/>
        <w:bidi w:val="0"/>
        <w:spacing w:before="160" w:after="0"/>
        <w:jc w:val="left"/>
        <w:rPr>
          <w:rFonts w:ascii="arial" w:hAnsi="arial"/>
          <w:sz w:val="20"/>
        </w:rPr>
      </w:pPr>
      <w:r>
        <w:rPr>
          <w:rFonts w:ascii="arial" w:hAnsi="arial"/>
          <w:sz w:val="20"/>
        </w:rPr>
        <w:t xml:space="preserve">In December 2022, the Company established Attovia Therapeutics, Inc. (“Attovia”) as a wholly-owned subsidiary and received 7,437,877 shares of Attovia’s common stock. Attovia had no operating activities from inception to May 31, 2023. </w:t>
      </w:r>
    </w:p>
    <w:p>
      <w:pPr>
        <w:pStyle w:val="TextBody"/>
        <w:bidi w:val="0"/>
        <w:spacing w:before="160" w:after="0"/>
        <w:jc w:val="left"/>
        <w:rPr>
          <w:rFonts w:ascii="arial" w:hAnsi="arial"/>
          <w:sz w:val="20"/>
        </w:rPr>
      </w:pPr>
      <w:r>
        <w:rPr>
          <w:rFonts w:ascii="arial" w:hAnsi="arial"/>
          <w:sz w:val="20"/>
        </w:rPr>
        <w:t xml:space="preserve">On June 1, 2023, Attovia entered into a Series A Preferred Stock Purchase Agreement (“Attovia Series A SPA”) with third party investors unrelated to the Company to sell 58,084,090 shares of its Series A preferred stock for a total of $60.8 million in two tranches. On the same day, Attovia also entered into a Platform License Agreement (License Agreement) with the Company to use certain patents and know-how related to a platform developed by or on behalf of the Company in the therapeutic field only. Under the License Agreement, Attovia issued 22,562,123 shares of common stock to the Company as consideration for the license. The Company is further entitled to various fees for each of the commercialization milestones that may be achieved by Attovia on a product-by-product basis as well as royalties on net sales of Attovia’s products. The Company’s total equity interest which was comprised of 30,000,000 shares of Attovia’s common stock no longer represented a controlling interest in Attovia after the issuance of the Series A preferred stock, and the Company elected the fair value option for accounting for its investment in Attovia. During the year ended December 31, 2025, the Company recognized $0.5 million in licensing revenue upon Attovia’s achievement of two development milestones under the agreement. </w:t>
      </w:r>
    </w:p>
    <w:p>
      <w:pPr>
        <w:pStyle w:val="TextBody"/>
        <w:bidi w:val="0"/>
        <w:spacing w:before="160" w:after="0"/>
        <w:jc w:val="left"/>
        <w:rPr>
          <w:rFonts w:ascii="arial" w:hAnsi="arial"/>
          <w:sz w:val="20"/>
        </w:rPr>
      </w:pPr>
      <w:r>
        <w:rPr>
          <w:rFonts w:ascii="arial" w:hAnsi="arial"/>
          <w:sz w:val="20"/>
        </w:rPr>
        <w:t xml:space="preserve">On June 1, 2023, Attovia also entered into an Intercompany Agreement (“Intercompany Agreement”) with the Company. Under the Intercompany Agreement, the Company provides clerical services and executive and administrative services with respect to the day-to-day operations to Attovia and shares the usage of certain equipment and software licenses for a professional service fee under a cost-plus method. </w:t>
      </w:r>
    </w:p>
    <w:p>
      <w:pPr>
        <w:pStyle w:val="TextBody"/>
        <w:bidi w:val="0"/>
        <w:spacing w:before="160" w:after="0"/>
        <w:jc w:val="left"/>
        <w:rPr>
          <w:rFonts w:ascii="arial" w:hAnsi="arial"/>
          <w:sz w:val="20"/>
        </w:rPr>
      </w:pPr>
      <w:r>
        <w:rPr>
          <w:rFonts w:ascii="arial" w:hAnsi="arial"/>
          <w:sz w:val="20"/>
        </w:rPr>
        <w:t xml:space="preserve">On June 14, 2023, Attovia entered into a sublease agreement with the Company for approximately 12% of the Company’s facility and bears the proportional lease expenses. The lease term was initially set to expire on November 30, 2024 and was subsequently amended in October 2024 to expire on March 31, 2025. There were no further extensions, and the sublease was terminated on March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 February 20, 2024, the Company incorporated Alamar Holdco, LLC (“LLC”), a wholly-owned subsidiary of the Company, and entered into a Limited Liability Company Agreement with the LLC and certain members of LLC (the “LLC Agreement”). Pursuant to the LLC Agreement, the Company contributed into the LLC its equity interest in Attovia, consisting of 30,000,000 shares of Attovia common stock, in exchange for 49,339,922 LLC Series A Preferred Units. On the same day, the Company effected an in-kind dividend distribution of all issued LLC Series A Preferred Units to the holders of the Company’s Series A-1, Series A-2, Series A-3, Series A-4, Series B and Series B-Plus convertible preferred stock on a 1:1 basis. Promptly following this, LLC issued 25,923,346 Common Units to the holders of the Company’s Common Stock and Founders Preferred Stock pro-rata to their share ownership in the Company (altogether referred to as the “Transaction”). The fair value of the investment in Attovia immediately prior to February 21, 2024 was $12.5 million. Following the Transaction, the Company did not own any shares of capital stock of Attovia. The Transaction was accounted for as a dividend and reduced the equity investment in Attovia to zero. There was no gain or loss recognized as a result of the Transaction. See Note 8—Convertible Preferred Stock and Stockholders’ Deficit, for further details. </w:t>
      </w:r>
    </w:p>
    <w:p>
      <w:pPr>
        <w:pStyle w:val="TextBody"/>
        <w:bidi w:val="0"/>
        <w:spacing w:before="0" w:after="0"/>
        <w:jc w:val="left"/>
        <w:rPr>
          <w:rFonts w:ascii="arial" w:hAnsi="arial"/>
          <w:sz w:val="20"/>
        </w:rPr>
      </w:pPr>
      <w:r>
        <w:rPr>
          <w:rFonts w:ascii="arial" w:hAnsi="arial"/>
          <w:sz w:val="20"/>
        </w:rPr>
        <w:t xml:space="preserve">The Company’s Chief Executive Officer has been a director of Attovia since its inception; thus, Attovia is a </w:t>
      </w:r>
    </w:p>
    <w:p>
      <w:pPr>
        <w:pStyle w:val="TextBody"/>
        <w:bidi w:val="0"/>
        <w:spacing w:before="0" w:after="0"/>
        <w:jc w:val="left"/>
        <w:rPr>
          <w:rFonts w:ascii="arial" w:hAnsi="arial"/>
          <w:sz w:val="20"/>
        </w:rPr>
      </w:pPr>
      <w:r>
        <w:rPr>
          <w:rFonts w:ascii="arial" w:hAnsi="arial"/>
          <w:sz w:val="20"/>
        </w:rPr>
        <w:t xml:space="preserve">related party. The following table summarizes the related party transactions between the Company and Attovia during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9"/>
        <w:gridCol w:w="344"/>
        <w:gridCol w:w="155"/>
        <w:gridCol w:w="428"/>
        <w:gridCol w:w="66"/>
        <w:gridCol w:w="354"/>
        <w:gridCol w:w="155"/>
        <w:gridCol w:w="430"/>
        <w:gridCol w:w="64"/>
      </w:tblGrid>
      <w:tr>
        <w:trPr/>
        <w:tc>
          <w:tcPr>
            <w:tcW w:w="8209"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209" w:type="dxa"/>
            <w:tcBorders>
              <w:top w:val="single" w:sz="16" w:space="0" w:color="000000"/>
            </w:tcBorders>
            <w:tcMar>
              <w:top w:w="28" w:type="dxa"/>
            </w:tcMar>
            <w:vAlign w:val="center"/>
          </w:tcPr>
          <w:p>
            <w:pPr>
              <w:pStyle w:val="TableContents"/>
              <w:bidi w:val="0"/>
              <w:spacing w:before="0" w:after="283"/>
              <w:jc w:val="left"/>
              <w:rPr/>
            </w:pPr>
            <w:r>
              <w:rPr/>
              <w:t> </w:t>
            </w:r>
          </w:p>
        </w:tc>
        <w:tc>
          <w:tcPr>
            <w:tcW w:w="199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20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588"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44" w:type="dxa"/>
            <w:tcBorders>
              <w:bottom w:val="single" w:sz="2" w:space="0" w:color="000000"/>
            </w:tcBorders>
            <w:tcMar>
              <w:bottom w:w="28" w:type="dxa"/>
            </w:tcMar>
            <w:vAlign w:val="bottom"/>
          </w:tcPr>
          <w:p>
            <w:pPr>
              <w:pStyle w:val="TableContents"/>
              <w:bidi w:val="0"/>
              <w:spacing w:before="0" w:after="283"/>
              <w:jc w:val="left"/>
              <w:rPr/>
            </w:pPr>
            <w:r>
              <w:rPr/>
              <w:t>  </w:t>
            </w:r>
          </w:p>
        </w:tc>
        <w:tc>
          <w:tcPr>
            <w:tcW w:w="5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58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arial" w:hAnsi="arial"/>
                <w:sz w:val="20"/>
              </w:rPr>
            </w:pPr>
            <w:r>
              <w:rPr>
                <w:rFonts w:ascii="arial" w:hAnsi="arial"/>
                <w:sz w:val="20"/>
              </w:rPr>
              <w:t>TAP service revenue</w:t>
            </w:r>
          </w:p>
        </w:tc>
        <w:tc>
          <w:tcPr>
            <w:tcW w:w="34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30</w:t>
            </w:r>
          </w:p>
        </w:tc>
        <w:tc>
          <w:tcPr>
            <w:tcW w:w="6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221</w:t>
            </w:r>
          </w:p>
        </w:tc>
        <w:tc>
          <w:tcPr>
            <w:tcW w:w="64" w:type="dxa"/>
            <w:tcBorders/>
            <w:shd w:fill="CCEEFF" w:val="clear"/>
            <w:vAlign w:val="bottom"/>
          </w:tcPr>
          <w:p>
            <w:pPr>
              <w:pStyle w:val="TableContents"/>
              <w:bidi w:val="0"/>
              <w:spacing w:before="0" w:after="283"/>
              <w:jc w:val="left"/>
              <w:rPr/>
            </w:pPr>
            <w:r>
              <w:rPr/>
              <w:t> </w:t>
            </w:r>
          </w:p>
        </w:tc>
      </w:tr>
      <w:tr>
        <w:trPr/>
        <w:tc>
          <w:tcPr>
            <w:tcW w:w="8209" w:type="dxa"/>
            <w:tcBorders/>
          </w:tcPr>
          <w:p>
            <w:pPr>
              <w:pStyle w:val="TableContents"/>
              <w:bidi w:val="0"/>
              <w:spacing w:before="0" w:after="0"/>
              <w:jc w:val="left"/>
              <w:rPr>
                <w:rFonts w:ascii="arial" w:hAnsi="arial"/>
                <w:sz w:val="20"/>
              </w:rPr>
            </w:pPr>
            <w:r>
              <w:rPr>
                <w:rFonts w:ascii="arial" w:hAnsi="arial"/>
                <w:sz w:val="20"/>
              </w:rPr>
              <w:t>Licensing revenue</w:t>
            </w:r>
          </w:p>
        </w:tc>
        <w:tc>
          <w:tcPr>
            <w:tcW w:w="34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500</w:t>
            </w:r>
          </w:p>
        </w:tc>
        <w:tc>
          <w:tcPr>
            <w:tcW w:w="64" w:type="dxa"/>
            <w:tcBorders/>
            <w:vAlign w:val="bottom"/>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arial" w:hAnsi="arial"/>
                <w:sz w:val="20"/>
              </w:rPr>
            </w:pPr>
            <w:r>
              <w:rPr>
                <w:rFonts w:ascii="arial" w:hAnsi="arial"/>
                <w:sz w:val="20"/>
              </w:rPr>
              <w:t>Sublease income</w:t>
            </w:r>
          </w:p>
        </w:tc>
        <w:tc>
          <w:tcPr>
            <w:tcW w:w="34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685</w:t>
            </w:r>
          </w:p>
        </w:tc>
        <w:tc>
          <w:tcPr>
            <w:tcW w:w="6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190</w:t>
            </w:r>
          </w:p>
        </w:tc>
        <w:tc>
          <w:tcPr>
            <w:tcW w:w="64" w:type="dxa"/>
            <w:tcBorders/>
            <w:shd w:fill="CCEEFF" w:val="clear"/>
            <w:vAlign w:val="bottom"/>
          </w:tcPr>
          <w:p>
            <w:pPr>
              <w:pStyle w:val="TableContents"/>
              <w:bidi w:val="0"/>
              <w:spacing w:before="0" w:after="283"/>
              <w:jc w:val="left"/>
              <w:rPr/>
            </w:pPr>
            <w:r>
              <w:rPr/>
              <w:t> </w:t>
            </w:r>
          </w:p>
        </w:tc>
      </w:tr>
      <w:tr>
        <w:trPr/>
        <w:tc>
          <w:tcPr>
            <w:tcW w:w="8209" w:type="dxa"/>
            <w:tcBorders/>
          </w:tcPr>
          <w:p>
            <w:pPr>
              <w:pStyle w:val="TableContents"/>
              <w:bidi w:val="0"/>
              <w:spacing w:before="0" w:after="0"/>
              <w:jc w:val="left"/>
              <w:rPr>
                <w:rFonts w:ascii="arial" w:hAnsi="arial"/>
                <w:sz w:val="20"/>
              </w:rPr>
            </w:pPr>
            <w:r>
              <w:rPr>
                <w:rFonts w:ascii="arial" w:hAnsi="arial"/>
                <w:sz w:val="20"/>
              </w:rPr>
              <w:t>Other facility-related income</w:t>
            </w:r>
          </w:p>
        </w:tc>
        <w:tc>
          <w:tcPr>
            <w:tcW w:w="34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470</w:t>
            </w:r>
          </w:p>
        </w:tc>
        <w:tc>
          <w:tcPr>
            <w:tcW w:w="6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arial" w:hAnsi="arial"/>
                <w:sz w:val="20"/>
              </w:rPr>
            </w:pPr>
            <w:r>
              <w:rPr>
                <w:rFonts w:ascii="arial" w:hAnsi="arial"/>
                <w:sz w:val="20"/>
              </w:rPr>
              <w:t>Professional service and equipment rental income</w:t>
            </w:r>
          </w:p>
        </w:tc>
        <w:tc>
          <w:tcPr>
            <w:tcW w:w="34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50</w:t>
            </w:r>
          </w:p>
        </w:tc>
        <w:tc>
          <w:tcPr>
            <w:tcW w:w="6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8</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TAP service revenue and the licensing revenue was recorded in service and other revenue in the consolidated statements of operations. All the other items in the above table were recorded as reductions to operating expenses. </w:t>
      </w:r>
    </w:p>
    <w:p>
      <w:pPr>
        <w:pStyle w:val="TextBody"/>
        <w:bidi w:val="0"/>
        <w:spacing w:before="320" w:after="0"/>
        <w:jc w:val="left"/>
        <w:rPr>
          <w:rFonts w:ascii="arial" w:hAnsi="arial"/>
          <w:b/>
          <w:sz w:val="24"/>
        </w:rPr>
      </w:pPr>
      <w:r>
        <w:rPr>
          <w:rFonts w:ascii="arial" w:hAnsi="arial"/>
          <w:b/>
          <w:sz w:val="24"/>
        </w:rPr>
        <w:t xml:space="preserve">15. ADDF Funding Agreement </w:t>
      </w:r>
    </w:p>
    <w:p>
      <w:pPr>
        <w:pStyle w:val="TextBody"/>
        <w:bidi w:val="0"/>
        <w:spacing w:before="160" w:after="0"/>
        <w:jc w:val="left"/>
        <w:rPr>
          <w:rFonts w:ascii="arial" w:hAnsi="arial"/>
          <w:sz w:val="20"/>
        </w:rPr>
      </w:pPr>
      <w:r>
        <w:rPr>
          <w:rFonts w:ascii="arial" w:hAnsi="arial"/>
          <w:sz w:val="20"/>
        </w:rPr>
        <w:t xml:space="preserve">In December 2024, the Company entered into the Agreement for Biotechnology Funding (the “Funding Agreement”) with the Alzheimer’s Drug Discovery Foundation (“ADDF”) to support research and development activities for the project “Development of ARGO DX” (the “Project”). The Funding Agreement provides up to $10.0 million over 36 months, commencing within six weeks of acceptance. </w:t>
      </w:r>
    </w:p>
    <w:p>
      <w:pPr>
        <w:pStyle w:val="TextBody"/>
        <w:bidi w:val="0"/>
        <w:spacing w:before="160" w:after="0"/>
        <w:jc w:val="left"/>
        <w:rPr>
          <w:rFonts w:ascii="arial" w:hAnsi="arial"/>
          <w:sz w:val="20"/>
        </w:rPr>
      </w:pPr>
      <w:r>
        <w:rPr>
          <w:rFonts w:ascii="arial" w:hAnsi="arial"/>
          <w:sz w:val="20"/>
        </w:rPr>
        <w:t xml:space="preserve">Funds must be used solely for activities described in the grant proposal titled “Development of ARGO DX for a new generation of blood-based diagnostics for Alzheimer’s disease and related neurodegenerative diseases” or a revised grant proposal approved in writing by ADDF. This funding is distributed across various milestones, including product definition, prototype development, manufacturing, analytical and clinical testing, and FDA submission. In exchange, the Company has agreed to pay ADDF a low single digit royalty on sales of the ARGO DX as well as certain milestone payments based on sales of the ARGO DX, up to an aggregate of $4.75 million in potential payments.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Company has determined that the ADDF agreement is not within the scope of ASC 606 or other authoritative literature. The Company has determined that the payment from ADDF represents a reduction of research and development expense and recognizes the funding received as services are provided. Payments received are recorded within accrued and other current liabilities on the consolidated balance sheets until they are earned. </w:t>
      </w:r>
    </w:p>
    <w:p>
      <w:pPr>
        <w:pStyle w:val="TextBody"/>
        <w:bidi w:val="0"/>
        <w:spacing w:before="160" w:after="0"/>
        <w:jc w:val="left"/>
        <w:rPr>
          <w:rFonts w:ascii="arial" w:hAnsi="arial"/>
          <w:sz w:val="20"/>
        </w:rPr>
      </w:pPr>
      <w:r>
        <w:rPr>
          <w:rFonts w:ascii="arial" w:hAnsi="arial"/>
          <w:sz w:val="20"/>
        </w:rPr>
        <w:t xml:space="preserve">The following table summarizes the activity for 2024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8"/>
        <w:gridCol w:w="421"/>
        <w:gridCol w:w="140"/>
        <w:gridCol w:w="386"/>
        <w:gridCol w:w="60"/>
        <w:gridCol w:w="421"/>
        <w:gridCol w:w="140"/>
        <w:gridCol w:w="671"/>
        <w:gridCol w:w="158"/>
      </w:tblGrid>
      <w:tr>
        <w:trPr/>
        <w:tc>
          <w:tcPr>
            <w:tcW w:w="780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808" w:type="dxa"/>
            <w:tcBorders>
              <w:top w:val="single" w:sz="16" w:space="0" w:color="000000"/>
            </w:tcBorders>
            <w:tcMar>
              <w:top w:w="28" w:type="dxa"/>
            </w:tcMar>
            <w:vAlign w:val="center"/>
          </w:tcPr>
          <w:p>
            <w:pPr>
              <w:pStyle w:val="TableContents"/>
              <w:bidi w:val="0"/>
              <w:spacing w:before="0" w:after="283"/>
              <w:jc w:val="left"/>
              <w:rPr/>
            </w:pPr>
            <w:r>
              <w:rPr/>
              <w:t> </w:t>
            </w:r>
          </w:p>
        </w:tc>
        <w:tc>
          <w:tcPr>
            <w:tcW w:w="239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808"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818"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7808"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21" w:type="dxa"/>
            <w:tcBorders>
              <w:bottom w:val="single" w:sz="2" w:space="0" w:color="000000"/>
            </w:tcBorders>
            <w:tcMar>
              <w:bottom w:w="28" w:type="dxa"/>
            </w:tcMar>
            <w:vAlign w:val="bottom"/>
          </w:tcPr>
          <w:p>
            <w:pPr>
              <w:pStyle w:val="TableContents"/>
              <w:bidi w:val="0"/>
              <w:spacing w:before="0" w:after="283"/>
              <w:jc w:val="left"/>
              <w:rPr/>
            </w:pPr>
            <w:r>
              <w:rPr/>
              <w:t>  </w:t>
            </w:r>
          </w:p>
        </w:tc>
        <w:tc>
          <w:tcPr>
            <w:tcW w:w="52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1" w:type="dxa"/>
            <w:tcBorders>
              <w:bottom w:val="single" w:sz="2" w:space="0" w:color="000000"/>
            </w:tcBorders>
            <w:tcMar>
              <w:bottom w:w="28" w:type="dxa"/>
            </w:tcMar>
            <w:vAlign w:val="bottom"/>
          </w:tcPr>
          <w:p>
            <w:pPr>
              <w:pStyle w:val="TableContents"/>
              <w:bidi w:val="0"/>
              <w:spacing w:before="0" w:after="283"/>
              <w:jc w:val="left"/>
              <w:rPr/>
            </w:pPr>
            <w:r>
              <w:rPr/>
              <w:t>  </w:t>
            </w:r>
          </w:p>
        </w:tc>
        <w:tc>
          <w:tcPr>
            <w:tcW w:w="8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808" w:type="dxa"/>
            <w:tcBorders/>
            <w:shd w:fill="CCEEFF" w:val="clear"/>
          </w:tcPr>
          <w:p>
            <w:pPr>
              <w:pStyle w:val="TableContents"/>
              <w:bidi w:val="0"/>
              <w:spacing w:before="0" w:after="0"/>
              <w:jc w:val="left"/>
              <w:rPr>
                <w:rFonts w:ascii="arial" w:hAnsi="arial"/>
                <w:sz w:val="20"/>
              </w:rPr>
            </w:pPr>
            <w:r>
              <w:rPr>
                <w:rFonts w:ascii="arial" w:hAnsi="arial"/>
                <w:sz w:val="20"/>
              </w:rPr>
              <w:t>Beginning liability</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851</w:t>
            </w:r>
          </w:p>
        </w:tc>
        <w:tc>
          <w:tcPr>
            <w:tcW w:w="158" w:type="dxa"/>
            <w:tcBorders/>
            <w:shd w:fill="CCEEFF" w:val="clear"/>
            <w:vAlign w:val="bottom"/>
          </w:tcPr>
          <w:p>
            <w:pPr>
              <w:pStyle w:val="TableContents"/>
              <w:bidi w:val="0"/>
              <w:spacing w:before="0" w:after="283"/>
              <w:jc w:val="left"/>
              <w:rPr/>
            </w:pPr>
            <w:r>
              <w:rPr/>
              <w:t> </w:t>
            </w:r>
          </w:p>
        </w:tc>
      </w:tr>
      <w:tr>
        <w:trPr/>
        <w:tc>
          <w:tcPr>
            <w:tcW w:w="7808" w:type="dxa"/>
            <w:tcBorders/>
          </w:tcPr>
          <w:p>
            <w:pPr>
              <w:pStyle w:val="TableContents"/>
              <w:bidi w:val="0"/>
              <w:spacing w:before="0" w:after="0"/>
              <w:jc w:val="left"/>
              <w:rPr>
                <w:rFonts w:ascii="arial" w:hAnsi="arial"/>
                <w:sz w:val="20"/>
              </w:rPr>
            </w:pPr>
            <w:r>
              <w:rPr>
                <w:rFonts w:ascii="arial" w:hAnsi="arial"/>
                <w:sz w:val="20"/>
              </w:rPr>
              <w:t>Payments received</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851</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2,631</w:t>
            </w:r>
          </w:p>
        </w:tc>
        <w:tc>
          <w:tcPr>
            <w:tcW w:w="158" w:type="dxa"/>
            <w:tcBorders/>
            <w:vAlign w:val="bottom"/>
          </w:tcPr>
          <w:p>
            <w:pPr>
              <w:pStyle w:val="TableContents"/>
              <w:bidi w:val="0"/>
              <w:spacing w:before="0" w:after="283"/>
              <w:jc w:val="left"/>
              <w:rPr/>
            </w:pPr>
            <w:r>
              <w:rPr/>
              <w:t> </w:t>
            </w:r>
          </w:p>
        </w:tc>
      </w:tr>
      <w:tr>
        <w:trPr/>
        <w:tc>
          <w:tcPr>
            <w:tcW w:w="7808" w:type="dxa"/>
            <w:tcBorders/>
            <w:shd w:fill="CCEEFF" w:val="clear"/>
          </w:tcPr>
          <w:p>
            <w:pPr>
              <w:pStyle w:val="TableContents"/>
              <w:bidi w:val="0"/>
              <w:spacing w:before="0" w:after="0"/>
              <w:jc w:val="left"/>
              <w:rPr>
                <w:rFonts w:ascii="arial" w:hAnsi="arial"/>
                <w:sz w:val="20"/>
              </w:rPr>
            </w:pPr>
            <w:r>
              <w:rPr>
                <w:rFonts w:ascii="arial" w:hAnsi="arial"/>
                <w:sz w:val="20"/>
              </w:rPr>
              <w:t>Amount recognized as contra research and development</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(3,025</w:t>
            </w:r>
          </w:p>
        </w:tc>
        <w:tc>
          <w:tcPr>
            <w:tcW w:w="158" w:type="dxa"/>
            <w:tcBorders/>
            <w:shd w:fill="CCEEFF" w:val="clear"/>
            <w:vAlign w:val="bottom"/>
          </w:tcPr>
          <w:p>
            <w:pPr>
              <w:pStyle w:val="TableContents"/>
              <w:bidi w:val="0"/>
              <w:spacing w:before="0" w:after="283"/>
              <w:jc w:val="left"/>
              <w:rPr/>
            </w:pPr>
            <w:r>
              <w:rPr/>
              <w:t>) </w:t>
            </w:r>
          </w:p>
        </w:tc>
      </w:tr>
      <w:tr>
        <w:trPr/>
        <w:tc>
          <w:tcPr>
            <w:tcW w:w="7808"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8"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8" w:type="dxa"/>
            <w:tcBorders/>
          </w:tcPr>
          <w:p>
            <w:pPr>
              <w:pStyle w:val="TableContents"/>
              <w:bidi w:val="0"/>
              <w:spacing w:before="0" w:after="0"/>
              <w:jc w:val="left"/>
              <w:rPr>
                <w:rFonts w:ascii="arial" w:hAnsi="arial"/>
                <w:sz w:val="20"/>
              </w:rPr>
            </w:pPr>
            <w:r>
              <w:rPr>
                <w:rFonts w:ascii="arial" w:hAnsi="arial"/>
                <w:sz w:val="20"/>
              </w:rPr>
              <w:t>Ending liability</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6" w:type="dxa"/>
            <w:tcBorders/>
            <w:vAlign w:val="bottom"/>
          </w:tcPr>
          <w:p>
            <w:pPr>
              <w:pStyle w:val="TableContents"/>
              <w:bidi w:val="0"/>
              <w:spacing w:before="0" w:after="283"/>
              <w:jc w:val="right"/>
              <w:rPr/>
            </w:pPr>
            <w:r>
              <w:rPr/>
              <w:t>851</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457</w:t>
            </w:r>
          </w:p>
        </w:tc>
        <w:tc>
          <w:tcPr>
            <w:tcW w:w="158" w:type="dxa"/>
            <w:tcBorders/>
            <w:vAlign w:val="bottom"/>
          </w:tcPr>
          <w:p>
            <w:pPr>
              <w:pStyle w:val="TableContents"/>
              <w:bidi w:val="0"/>
              <w:spacing w:before="0" w:after="283"/>
              <w:jc w:val="left"/>
              <w:rPr/>
            </w:pPr>
            <w:r>
              <w:rPr/>
              <w:t> </w:t>
            </w:r>
          </w:p>
        </w:tc>
      </w:tr>
      <w:tr>
        <w:trPr/>
        <w:tc>
          <w:tcPr>
            <w:tcW w:w="10047" w:type="dxa"/>
            <w:gridSpan w:val="8"/>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16. Net loss per share </w:t>
      </w:r>
    </w:p>
    <w:p>
      <w:pPr>
        <w:pStyle w:val="TextBody"/>
        <w:bidi w:val="0"/>
        <w:spacing w:before="160" w:after="0"/>
        <w:jc w:val="left"/>
        <w:rPr>
          <w:rFonts w:ascii="arial" w:hAnsi="arial"/>
          <w:sz w:val="20"/>
        </w:rPr>
      </w:pPr>
      <w:r>
        <w:rPr>
          <w:rFonts w:ascii="arial" w:hAnsi="arial"/>
          <w:sz w:val="20"/>
        </w:rPr>
        <w:t xml:space="preserve">The following table sets forth the computation of basic and diluted net loss per share for the years ended December 31, 2024 and 2025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4"/>
        <w:gridCol w:w="513"/>
        <w:gridCol w:w="140"/>
        <w:gridCol w:w="1111"/>
        <w:gridCol w:w="155"/>
        <w:gridCol w:w="472"/>
        <w:gridCol w:w="140"/>
        <w:gridCol w:w="1111"/>
        <w:gridCol w:w="159"/>
      </w:tblGrid>
      <w:tr>
        <w:trPr/>
        <w:tc>
          <w:tcPr>
            <w:tcW w:w="640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04" w:type="dxa"/>
            <w:tcBorders>
              <w:top w:val="single" w:sz="16" w:space="0" w:color="000000"/>
            </w:tcBorders>
            <w:tcMar>
              <w:top w:w="28" w:type="dxa"/>
            </w:tcMar>
            <w:vAlign w:val="center"/>
          </w:tcPr>
          <w:p>
            <w:pPr>
              <w:pStyle w:val="TableContents"/>
              <w:bidi w:val="0"/>
              <w:spacing w:before="0" w:after="283"/>
              <w:jc w:val="left"/>
              <w:rPr/>
            </w:pPr>
            <w:r>
              <w:rPr/>
              <w:t> </w:t>
            </w:r>
          </w:p>
        </w:tc>
        <w:tc>
          <w:tcPr>
            <w:tcW w:w="380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2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404" w:type="dxa"/>
            <w:tcBorders>
              <w:bottom w:val="single" w:sz="2" w:space="0" w:color="000000"/>
            </w:tcBorders>
            <w:tcMar>
              <w:bottom w:w="28" w:type="dxa"/>
            </w:tcMar>
            <w:vAlign w:val="bottom"/>
          </w:tcPr>
          <w:p>
            <w:pPr>
              <w:pStyle w:val="TableContents"/>
              <w:bidi w:val="0"/>
              <w:spacing w:before="0" w:after="283"/>
              <w:jc w:val="left"/>
              <w:rPr/>
            </w:pPr>
            <w:r>
              <w:rPr/>
              <w:t>  </w:t>
            </w:r>
          </w:p>
        </w:tc>
        <w:tc>
          <w:tcPr>
            <w:tcW w:w="513"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b/>
                <w:sz w:val="20"/>
              </w:rPr>
            </w:pPr>
            <w:r>
              <w:rPr>
                <w:rFonts w:ascii="arial" w:hAnsi="arial"/>
                <w:b/>
                <w:sz w:val="20"/>
              </w:rPr>
              <w:t>Numerator:</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(47,073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Plus: discount on redemption on preferred stock</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12,812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Less: deemed dividend on modification of preferred stock</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(2,044</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Less: dividends to preferred stockholders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(9,964</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attributable to common stockholders–basic</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(46,269</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Add: dividends to Series B and Series B-Plus preferred stockholders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4,342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Less: discount on redemption on preferred stock</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(12,812</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Net loss attributable to common stockholders–diluted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(54,739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(29,819</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b/>
                <w:sz w:val="20"/>
              </w:rPr>
            </w:pPr>
            <w:r>
              <w:rPr>
                <w:rFonts w:ascii="arial" w:hAnsi="arial"/>
                <w:b/>
                <w:sz w:val="20"/>
              </w:rPr>
              <w:t>Denominator</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Basic common shares outstanding:</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Weighted-average shares of common stock–basic</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10,521,761</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11,547,702</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Weighted-average shares used in earnings per common share–basic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10,521,761</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11,547,702</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Dilutive potential common shares: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Series B preferred stock</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1,368,984</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Weighted-average shares of common stock–diluted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11,890,745</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11,547,702</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Net loss per share attributable to common stockholders: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Basic</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(4.40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(2.58</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(2.58</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outstanding shares of common stock equivalents were excluded from the computation of diluted net loss per share for the years ended December 31, 2024 and 2025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8"/>
        <w:gridCol w:w="123"/>
        <w:gridCol w:w="60"/>
        <w:gridCol w:w="1119"/>
        <w:gridCol w:w="60"/>
        <w:gridCol w:w="123"/>
        <w:gridCol w:w="60"/>
        <w:gridCol w:w="1119"/>
        <w:gridCol w:w="63"/>
      </w:tblGrid>
      <w:tr>
        <w:trPr/>
        <w:tc>
          <w:tcPr>
            <w:tcW w:w="747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8" w:type="dxa"/>
            <w:tcBorders>
              <w:top w:val="single" w:sz="16" w:space="0" w:color="000000"/>
            </w:tcBorders>
            <w:tcMar>
              <w:top w:w="28" w:type="dxa"/>
            </w:tcMar>
            <w:vAlign w:val="center"/>
          </w:tcPr>
          <w:p>
            <w:pPr>
              <w:pStyle w:val="TableContents"/>
              <w:bidi w:val="0"/>
              <w:spacing w:before="0" w:after="283"/>
              <w:jc w:val="left"/>
              <w:rPr/>
            </w:pPr>
            <w:r>
              <w:rPr/>
              <w:t> </w:t>
            </w:r>
          </w:p>
        </w:tc>
        <w:tc>
          <w:tcPr>
            <w:tcW w:w="272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54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74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39,313,815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39,313,815</w:t>
            </w:r>
          </w:p>
        </w:tc>
        <w:tc>
          <w:tcPr>
            <w:tcW w:w="63" w:type="dxa"/>
            <w:tcBorders/>
            <w:shd w:fill="CCEEFF" w:val="clear"/>
            <w:vAlign w:val="bottom"/>
          </w:tcPr>
          <w:p>
            <w:pPr>
              <w:pStyle w:val="TableContents"/>
              <w:bidi w:val="0"/>
              <w:spacing w:before="0" w:after="283"/>
              <w:jc w:val="left"/>
              <w:rPr/>
            </w:pPr>
            <w:r>
              <w:rPr/>
              <w:t> </w:t>
            </w:r>
          </w:p>
        </w:tc>
      </w:tr>
      <w:tr>
        <w:trPr/>
        <w:tc>
          <w:tcPr>
            <w:tcW w:w="7478" w:type="dxa"/>
            <w:tcBorders/>
          </w:tcPr>
          <w:p>
            <w:pPr>
              <w:pStyle w:val="TableContents"/>
              <w:bidi w:val="0"/>
              <w:spacing w:before="0" w:after="0"/>
              <w:jc w:val="left"/>
              <w:rPr>
                <w:rFonts w:ascii="arial" w:hAnsi="arial"/>
                <w:sz w:val="20"/>
              </w:rPr>
            </w:pPr>
            <w:r>
              <w:rPr>
                <w:rFonts w:ascii="arial" w:hAnsi="arial"/>
                <w:sz w:val="20"/>
              </w:rPr>
              <w:t>Outstanding stock options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2,884,714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5,842,551</w:t>
            </w:r>
          </w:p>
        </w:tc>
        <w:tc>
          <w:tcPr>
            <w:tcW w:w="63" w:type="dxa"/>
            <w:tcBorders/>
            <w:vAlign w:val="bottom"/>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Unvested restricted awards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34,877</w:t>
            </w:r>
          </w:p>
        </w:tc>
        <w:tc>
          <w:tcPr>
            <w:tcW w:w="63" w:type="dxa"/>
            <w:tcBorders/>
            <w:shd w:fill="CCEEFF" w:val="clear"/>
            <w:vAlign w:val="bottom"/>
          </w:tcPr>
          <w:p>
            <w:pPr>
              <w:pStyle w:val="TableContents"/>
              <w:bidi w:val="0"/>
              <w:spacing w:before="0" w:after="283"/>
              <w:jc w:val="left"/>
              <w:rPr/>
            </w:pPr>
            <w:r>
              <w:rPr/>
              <w:t> </w:t>
            </w:r>
          </w:p>
        </w:tc>
      </w:tr>
      <w:tr>
        <w:trPr/>
        <w:tc>
          <w:tcPr>
            <w:tcW w:w="7478" w:type="dxa"/>
            <w:tcBorders/>
          </w:tcPr>
          <w:p>
            <w:pPr>
              <w:pStyle w:val="TableContents"/>
              <w:bidi w:val="0"/>
              <w:spacing w:before="0" w:after="0"/>
              <w:jc w:val="left"/>
              <w:rPr>
                <w:rFonts w:ascii="arial" w:hAnsi="arial"/>
                <w:sz w:val="20"/>
              </w:rPr>
            </w:pPr>
            <w:r>
              <w:rPr>
                <w:rFonts w:ascii="arial" w:hAnsi="arial"/>
                <w:sz w:val="20"/>
              </w:rPr>
              <w:t>Stock subject to repurchase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16,448</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35,629</w:t>
            </w:r>
          </w:p>
        </w:tc>
        <w:tc>
          <w:tcPr>
            <w:tcW w:w="63" w:type="dxa"/>
            <w:tcBorders/>
            <w:vAlign w:val="bottom"/>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Preferred stock warrants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31,251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31,251</w:t>
            </w:r>
          </w:p>
        </w:tc>
        <w:tc>
          <w:tcPr>
            <w:tcW w:w="63" w:type="dxa"/>
            <w:tcBorders/>
            <w:shd w:fill="CCEEFF" w:val="clear"/>
            <w:vAlign w:val="bottom"/>
          </w:tcPr>
          <w:p>
            <w:pPr>
              <w:pStyle w:val="TableContents"/>
              <w:bidi w:val="0"/>
              <w:spacing w:before="0" w:after="283"/>
              <w:jc w:val="left"/>
              <w:rPr/>
            </w:pPr>
            <w:r>
              <w:rPr/>
              <w:t> </w:t>
            </w:r>
          </w:p>
        </w:tc>
      </w:tr>
      <w:tr>
        <w:trPr/>
        <w:tc>
          <w:tcPr>
            <w:tcW w:w="7478" w:type="dxa"/>
            <w:tcBorders/>
          </w:tcPr>
          <w:p>
            <w:pPr>
              <w:pStyle w:val="TableContents"/>
              <w:bidi w:val="0"/>
              <w:spacing w:before="0" w:after="0"/>
              <w:jc w:val="left"/>
              <w:rPr>
                <w:rFonts w:ascii="arial" w:hAnsi="arial"/>
                <w:sz w:val="20"/>
              </w:rPr>
            </w:pPr>
            <w:r>
              <w:rPr>
                <w:rFonts w:ascii="arial" w:hAnsi="arial"/>
                <w:sz w:val="20"/>
              </w:rPr>
              <w:t>Common stock warrants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84,162</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112,847</w:t>
            </w:r>
          </w:p>
        </w:tc>
        <w:tc>
          <w:tcPr>
            <w:tcW w:w="63" w:type="dxa"/>
            <w:tcBorders/>
            <w:vAlign w:val="bottom"/>
          </w:tcPr>
          <w:p>
            <w:pPr>
              <w:pStyle w:val="TableContents"/>
              <w:bidi w:val="0"/>
              <w:spacing w:before="0" w:after="283"/>
              <w:jc w:val="left"/>
              <w:rPr/>
            </w:pPr>
            <w:r>
              <w:rPr/>
              <w:t> </w:t>
            </w:r>
          </w:p>
        </w:tc>
      </w:tr>
      <w:tr>
        <w:trPr/>
        <w:tc>
          <w:tcPr>
            <w:tcW w:w="747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48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78"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42,330,390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45,370,970</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17. Subsequent events </w:t>
      </w:r>
    </w:p>
    <w:p>
      <w:pPr>
        <w:pStyle w:val="TextBody"/>
        <w:bidi w:val="0"/>
        <w:spacing w:before="160" w:after="0"/>
        <w:jc w:val="left"/>
        <w:rPr>
          <w:rFonts w:ascii="arial" w:hAnsi="arial"/>
          <w:sz w:val="20"/>
        </w:rPr>
      </w:pPr>
      <w:r>
        <w:rPr>
          <w:rFonts w:ascii="arial" w:hAnsi="arial"/>
          <w:sz w:val="20"/>
        </w:rPr>
        <w:t xml:space="preserve">The Company evaluated events subsequent to December 31, 2025 through March 12, 2026, the date at which the consolidated financial statements were available to be issued and through April 13, 2026, solely as it relates to the reverse stock split described below. </w:t>
      </w:r>
    </w:p>
    <w:p>
      <w:pPr>
        <w:pStyle w:val="TextBody"/>
        <w:bidi w:val="0"/>
        <w:spacing w:before="160" w:after="0"/>
        <w:jc w:val="left"/>
        <w:rPr>
          <w:rFonts w:ascii="arial" w:hAnsi="arial"/>
          <w:sz w:val="20"/>
        </w:rPr>
      </w:pPr>
      <w:r>
        <w:rPr>
          <w:rFonts w:ascii="arial" w:hAnsi="arial"/>
          <w:sz w:val="20"/>
        </w:rPr>
        <w:t xml:space="preserve">On January 8, 2026, the Company closed unsecured convertible promissory notes to certain investors in aggregate principal amount of $56.5 million (“the Convertible Notes”). The Convertible Notes mature 18 months from the initial issuance of the notes, if not earlier converted, and, after July 31, 2026, will accrue simple interest on a daily basis at 8% per annum. Upon the completion of an IPO, the Convertible Notes and any accrued but unpaid interest will automatically convert into shares of our common stock at a price per share equal to 85% of the lowest price per share for common stock sold in an initial public offering. </w:t>
      </w:r>
    </w:p>
    <w:p>
      <w:pPr>
        <w:pStyle w:val="TextBody"/>
        <w:bidi w:val="0"/>
        <w:spacing w:before="160" w:after="0"/>
        <w:jc w:val="left"/>
        <w:rPr>
          <w:rFonts w:ascii="arial" w:hAnsi="arial"/>
          <w:sz w:val="20"/>
        </w:rPr>
      </w:pPr>
      <w:r>
        <w:rPr>
          <w:rFonts w:ascii="arial" w:hAnsi="arial"/>
          <w:sz w:val="20"/>
        </w:rPr>
        <w:t xml:space="preserve">In connection with the issuance of the Convertible Notes, the Company also amended its certificate of incorporation in January 2026. Following the amendment, holders of Preferred Stock vote together as a single class to elect three directors. The holders of Class A Common Stock vote together to elect two directors. The holders of outstanding shares of Class A Common Stock, Class B Common Stock, Founders Preferred Stock and Preferred Stock, vote together as a single class on an as-converted to Class B Common Stock basis to elect three directors. The holders of record of Preferred Stock, Founder Preferred Stock, Class A Common Stock and Class B Common Stock, vote together as a single class on an as-converted to Class B Common Stock basis to elect any remaining directors of the corporation. </w:t>
      </w:r>
    </w:p>
    <w:p>
      <w:pPr>
        <w:pStyle w:val="TextBody"/>
        <w:bidi w:val="0"/>
        <w:spacing w:before="160" w:after="0"/>
        <w:jc w:val="left"/>
        <w:rPr>
          <w:rFonts w:ascii="arial" w:hAnsi="arial"/>
          <w:sz w:val="20"/>
        </w:rPr>
      </w:pPr>
      <w:r>
        <w:rPr>
          <w:rFonts w:ascii="arial" w:hAnsi="arial"/>
          <w:sz w:val="20"/>
        </w:rPr>
        <w:t xml:space="preserve">On April 10, 2026, the Company’s stockholders and board of directors approved an amendment to the Company’s certificate of incorporation to effect a reverse split of shares of the Company’s Class A and Class B common stock and Founders Preferred Stock on a one-for-2.418 basis, which was effected on April 10, 2026 the (“Reverse Stock Split”). The number of authorized shares and the par values of the common stock and Convertible Preferred Stock were not adjusted as a result of the Reverse Stock Split. The number of issued and outstanding Preferred Stock were not adjusted as a result of the Reverse Stock Split. However, the conversion ratios for the Company’s Preferred Stock were proportionally adjusted such that the common stock issuable upon conversion of such Preferred Stock was decreased in proportion to the Reverse Stock Split. Likewise,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number of shares issuable upon exercise of outstanding options and common stock warrants and the related exercise price were adjusted in proportion to the Reverse Stock Split. All share and per share references, other than Preferred Stock, have been retroactively adjusted to reflect the effect of the Reverse Stock Split for all periods presented.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rFonts w:ascii="arial" w:hAnsi="arial"/>
          <w:b/>
          <w:i/>
          <w:sz w:val="36"/>
        </w:rPr>
      </w:pPr>
      <w:r>
        <w:rPr>
          <w:rFonts w:ascii="arial" w:hAnsi="arial"/>
          <w:b/>
          <w:i/>
          <w:sz w:val="36"/>
        </w:rPr>
        <w:t xml:space="preserve">11,250,000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9895" cy="11703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239895" cy="1170305"/>
                    </a:xfrm>
                    <a:prstGeom prst="rect">
                      <a:avLst/>
                    </a:prstGeom>
                  </pic:spPr>
                </pic:pic>
              </a:graphicData>
            </a:graphic>
          </wp:inline>
        </w:drawing>
      </w:r>
      <w:r>
        <w:rPr/>
        <w:t xml:space="preserve"> </w:t>
      </w:r>
    </w:p>
    <w:p>
      <w:pPr>
        <w:pStyle w:val="TextBody"/>
        <w:bidi w:val="0"/>
        <w:spacing w:before="480" w:after="0"/>
        <w:jc w:val="center"/>
        <w:rPr>
          <w:rFonts w:ascii="arial" w:hAnsi="arial"/>
          <w:b/>
          <w:i/>
          <w:sz w:val="36"/>
        </w:rPr>
      </w:pPr>
      <w:r>
        <w:rPr>
          <w:rFonts w:ascii="arial" w:hAnsi="arial"/>
          <w:b/>
          <w:i/>
          <w:sz w:val="36"/>
        </w:rPr>
        <w:t xml:space="preserve">Common stock </w:t>
      </w:r>
    </w:p>
    <w:p>
      <w:pPr>
        <w:pStyle w:val="TextBody"/>
        <w:bidi w:val="0"/>
        <w:spacing w:before="480" w:after="0"/>
        <w:jc w:val="center"/>
        <w:rPr>
          <w:rFonts w:ascii="arial" w:hAnsi="arial"/>
          <w:b/>
          <w:sz w:val="48"/>
        </w:rPr>
      </w:pPr>
      <w:r>
        <w:rPr>
          <w:rFonts w:ascii="arial" w:hAnsi="arial"/>
          <w:b/>
          <w:sz w:val="48"/>
        </w:rPr>
        <w:t xml:space="preserve">Prospectus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2"/>
        <w:gridCol w:w="3368"/>
        <w:gridCol w:w="102"/>
        <w:gridCol w:w="3265"/>
      </w:tblGrid>
      <w:tr>
        <w:trPr/>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b/>
              </w:rPr>
            </w:pPr>
            <w:r>
              <w:rPr>
                <w:b/>
              </w:rPr>
              <w:t>BofA Securities</w:t>
            </w:r>
          </w:p>
        </w:tc>
        <w:tc>
          <w:tcPr>
            <w:tcW w:w="102" w:type="dxa"/>
            <w:tcBorders/>
            <w:vAlign w:val="bottom"/>
          </w:tcPr>
          <w:p>
            <w:pPr>
              <w:pStyle w:val="TableContents"/>
              <w:bidi w:val="0"/>
              <w:spacing w:before="0" w:after="283"/>
              <w:jc w:val="left"/>
              <w:rPr/>
            </w:pPr>
            <w:r>
              <w:rPr/>
              <w:t> </w:t>
            </w:r>
          </w:p>
        </w:tc>
        <w:tc>
          <w:tcPr>
            <w:tcW w:w="3265" w:type="dxa"/>
            <w:tcBorders/>
            <w:vAlign w:val="bottom"/>
          </w:tcPr>
          <w:p>
            <w:pPr>
              <w:pStyle w:val="TableContents"/>
              <w:bidi w:val="0"/>
              <w:spacing w:before="0" w:after="283"/>
              <w:jc w:val="right"/>
              <w:rPr>
                <w:b/>
              </w:rPr>
            </w:pPr>
            <w:r>
              <w:rPr>
                <w:b/>
              </w:rPr>
              <w:t>TD Cowen</w:t>
            </w:r>
          </w:p>
        </w:tc>
      </w:tr>
      <w:tr>
        <w:trPr>
          <w:trHeight w:val="24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bidi w:val="0"/>
              <w:spacing w:before="0" w:after="283"/>
              <w:jc w:val="left"/>
              <w:rPr>
                <w:b/>
              </w:rPr>
            </w:pPr>
            <w:r>
              <w:rPr>
                <w:b/>
              </w:rPr>
              <w:t>Leerink Partners</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5" w:type="dxa"/>
            <w:tcBorders/>
            <w:vAlign w:val="bottom"/>
          </w:tcPr>
          <w:p>
            <w:pPr>
              <w:pStyle w:val="TableContents"/>
              <w:bidi w:val="0"/>
              <w:spacing w:before="0" w:after="283"/>
              <w:jc w:val="right"/>
              <w:rPr>
                <w:b/>
              </w:rPr>
            </w:pPr>
            <w:r>
              <w:rPr>
                <w:b/>
              </w:rPr>
              <w:t>Stifel</w:t>
            </w:r>
          </w:p>
        </w:tc>
      </w:tr>
    </w:tbl>
    <w:p>
      <w:pPr>
        <w:pStyle w:val="TextBody"/>
        <w:bidi w:val="0"/>
        <w:spacing w:before="1200" w:after="0"/>
        <w:jc w:val="left"/>
        <w:rPr>
          <w:rFonts w:ascii="arial" w:hAnsi="arial"/>
          <w:sz w:val="20"/>
        </w:rPr>
      </w:pPr>
      <w:r>
        <w:rPr>
          <w:rFonts w:ascii="arial" w:hAnsi="arial"/>
          <w:sz w:val="20"/>
        </w:rPr>
        <w:t xml:space="preserve">April 16,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9.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271</Pages>
  <Words>142616</Words>
  <Characters>791791</Characters>
  <CharactersWithSpaces>939576</CharactersWithSpaces>
  <Paragraphs>13099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