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881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126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3"/>
                <w:szCs w:val="13"/>
                <w:color w:val="auto"/>
                <w:w w:val="96"/>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gridSpan w:val="7"/>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Qiming Corporate GP VI, Ltd.</w:t>
              </w:r>
            </w:hyperlink>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6"/>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Alamar Biosciences,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ALMR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6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gridSpan w:val="6"/>
            <w:vMerge w:val="restart"/>
          </w:tcPr>
          <w:p>
            <w:pPr>
              <w:ind w:left="2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3"/>
                <w:szCs w:val="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3"/>
            <w:vMerge w:val="restart"/>
          </w:tcPr>
          <w:p>
            <w:pPr>
              <w:ind w:left="4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vMerge w:val="restart"/>
          </w:tcPr>
          <w:p>
            <w:pPr>
              <w:ind w:left="200"/>
              <w:spacing w:after="0"/>
              <w:rPr>
                <w:sz w:val="20"/>
                <w:szCs w:val="20"/>
                <w:color w:val="auto"/>
              </w:rPr>
            </w:pPr>
            <w:r>
              <w:rPr>
                <w:rFonts w:ascii="Arial" w:cs="Arial" w:eastAsia="Arial" w:hAnsi="Arial"/>
                <w:sz w:val="13"/>
                <w:szCs w:val="13"/>
                <w:color w:val="auto"/>
                <w:w w:val="99"/>
              </w:rPr>
              <w:t>below)</w:t>
            </w: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6"/>
            <w:vMerge w:val="restart"/>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0" w:type="dxa"/>
            <w:vAlign w:val="bottom"/>
            <w:gridSpan w:val="6"/>
            <w:vMerge w:val="continue"/>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 MAPLES CORPORATE SERVICES LIMITED</w:t>
            </w: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0000FF"/>
              </w:rPr>
              <w:t>04/20/2026</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PO BOX 309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7"/>
          </w:tcPr>
          <w:p>
            <w:pPr>
              <w:spacing w:after="0"/>
              <w:rPr>
                <w:sz w:val="7"/>
                <w:szCs w:val="7"/>
                <w:color w:val="auto"/>
              </w:rPr>
            </w:pPr>
          </w:p>
        </w:tc>
        <w:tc>
          <w:tcPr>
            <w:tcW w:w="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260" w:type="dxa"/>
            <w:vAlign w:val="bottom"/>
            <w:gridSpan w:val="7"/>
            <w:vMerge w:val="restart"/>
          </w:tcPr>
          <w:p>
            <w:pPr>
              <w:spacing w:after="0"/>
              <w:rPr>
                <w:sz w:val="20"/>
                <w:szCs w:val="20"/>
                <w:color w:val="auto"/>
              </w:rPr>
            </w:pPr>
            <w:r>
              <w:rPr>
                <w:rFonts w:ascii="Arial" w:cs="Arial" w:eastAsia="Arial" w:hAnsi="Arial"/>
                <w:sz w:val="13"/>
                <w:szCs w:val="13"/>
                <w:color w:val="auto"/>
                <w:w w:val="97"/>
              </w:rPr>
              <w:t>4. If Amendment, Date of Original Filed (Month/Day/Year)</w:t>
            </w: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3260" w:type="dxa"/>
            <w:vAlign w:val="bottom"/>
            <w:gridSpan w:val="7"/>
            <w:vMerge w:val="continue"/>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UGLAND</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E9</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KY1-1104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gridSpan w:val="5"/>
          </w:tcPr>
          <w:p>
            <w:pPr>
              <w:ind w:left="16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HOUSE</w:t>
            </w: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9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9"/>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0" w:type="dxa"/>
            <w:vAlign w:val="bottom"/>
          </w:tcPr>
          <w:p>
            <w:pPr>
              <w:spacing w:after="0"/>
              <w:rPr>
                <w:sz w:val="14"/>
                <w:szCs w:val="14"/>
                <w:color w:val="auto"/>
              </w:rPr>
            </w:pPr>
          </w:p>
        </w:tc>
        <w:tc>
          <w:tcPr>
            <w:tcW w:w="1760" w:type="dxa"/>
            <w:vAlign w:val="bottom"/>
            <w:gridSpan w:val="6"/>
          </w:tcPr>
          <w:p>
            <w:pPr>
              <w:ind w:left="7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204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6"/>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gridSpan w:val="6"/>
          </w:tcPr>
          <w:p>
            <w:pPr>
              <w:jc w:val="center"/>
              <w:ind w:left="614"/>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6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w w:val="91"/>
              </w:rPr>
              <w:t>C</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185,163</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(1)(2)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185,163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w w:val="91"/>
              </w:rPr>
              <w:t>C</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6,881,410</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(1)(2)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6,881,410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w w:val="91"/>
              </w:rPr>
              <w:t>C</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1,605,645</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1,605,645</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w w:val="91"/>
              </w:rPr>
              <w:t>C</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1,922,329</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1,922,329</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(7)</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185,163</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20"/>
                <w:szCs w:val="20"/>
                <w:color w:val="auto"/>
              </w:rPr>
            </w:pPr>
          </w:p>
        </w:tc>
        <w:tc>
          <w:tcPr>
            <w:tcW w:w="700" w:type="dxa"/>
            <w:vAlign w:val="bottom"/>
            <w:vMerge w:val="restart"/>
          </w:tcPr>
          <w:p>
            <w:pPr>
              <w:jc w:val="center"/>
              <w:ind w:left="353"/>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(7)</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6,881,410</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20"/>
                <w:szCs w:val="20"/>
                <w:color w:val="auto"/>
              </w:rPr>
            </w:pPr>
          </w:p>
        </w:tc>
        <w:tc>
          <w:tcPr>
            <w:tcW w:w="700" w:type="dxa"/>
            <w:vAlign w:val="bottom"/>
            <w:vMerge w:val="restart"/>
          </w:tcPr>
          <w:p>
            <w:pPr>
              <w:jc w:val="center"/>
              <w:ind w:left="353"/>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(7)</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1,605,645</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20"/>
                <w:szCs w:val="20"/>
                <w:color w:val="auto"/>
              </w:rPr>
            </w:pPr>
          </w:p>
        </w:tc>
        <w:tc>
          <w:tcPr>
            <w:tcW w:w="700" w:type="dxa"/>
            <w:vAlign w:val="bottom"/>
            <w:vMerge w:val="restart"/>
          </w:tcPr>
          <w:p>
            <w:pPr>
              <w:jc w:val="center"/>
              <w:ind w:left="353"/>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(7)</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1,922,329</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20"/>
                <w:szCs w:val="20"/>
                <w:color w:val="auto"/>
              </w:rPr>
            </w:pPr>
          </w:p>
        </w:tc>
        <w:tc>
          <w:tcPr>
            <w:tcW w:w="700" w:type="dxa"/>
            <w:vAlign w:val="bottom"/>
            <w:vMerge w:val="restart"/>
          </w:tcPr>
          <w:p>
            <w:pPr>
              <w:jc w:val="center"/>
              <w:ind w:left="353"/>
              <w:spacing w:after="0"/>
              <w:rPr>
                <w:sz w:val="20"/>
                <w:szCs w:val="20"/>
                <w:color w:val="auto"/>
              </w:rPr>
            </w:pPr>
            <w:r>
              <w:rPr>
                <w:rFonts w:ascii="Times New Roman" w:cs="Times New Roman" w:eastAsia="Times New Roman" w:hAnsi="Times New Roman"/>
                <w:sz w:val="16"/>
                <w:szCs w:val="16"/>
                <w:color w:val="0000FF"/>
                <w:w w:val="99"/>
              </w:rPr>
              <w:t>0</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(7)</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185,163</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185,163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(7)</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6,881,410</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6,881,410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(7)</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1,605,645</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1,605,645</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7"/>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04/20/2026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5"/>
                <w:szCs w:val="25"/>
                <w:color w:val="0000FF"/>
                <w:w w:val="87"/>
                <w:vertAlign w:val="subscript"/>
              </w:rPr>
              <w:t>J</w:t>
            </w:r>
            <w:r>
              <w:rPr>
                <w:rFonts w:ascii="Times New Roman" w:cs="Times New Roman" w:eastAsia="Times New Roman" w:hAnsi="Times New Roman"/>
                <w:sz w:val="10"/>
                <w:szCs w:val="10"/>
                <w:color w:val="008000"/>
                <w:w w:val="87"/>
              </w:rPr>
              <w:t>(7)</w:t>
            </w:r>
          </w:p>
        </w:tc>
        <w:tc>
          <w:tcPr>
            <w:tcW w:w="11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6"/>
                <w:szCs w:val="16"/>
                <w:color w:val="0000FF"/>
                <w:w w:val="99"/>
              </w:rPr>
              <w:t>1,922,329</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gridSpan w:val="2"/>
            <w:vMerge w:val="restart"/>
          </w:tcPr>
          <w:p>
            <w:pPr>
              <w:jc w:val="center"/>
              <w:ind w:left="84"/>
              <w:spacing w:after="0"/>
              <w:rPr>
                <w:sz w:val="20"/>
                <w:szCs w:val="20"/>
                <w:color w:val="auto"/>
              </w:rPr>
            </w:pPr>
            <w:r>
              <w:rPr>
                <w:rFonts w:ascii="Times New Roman" w:cs="Times New Roman" w:eastAsia="Times New Roman" w:hAnsi="Times New Roman"/>
                <w:sz w:val="10"/>
                <w:szCs w:val="10"/>
                <w:color w:val="008000"/>
              </w:rPr>
              <w:t>(7)</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1,922,329</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7"/>
          </w:tcPr>
          <w:p>
            <w:pPr>
              <w:jc w:val="right"/>
              <w:ind w:right="27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40" w:type="dxa"/>
            <w:vAlign w:val="bottom"/>
            <w:gridSpan w:val="16"/>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0"/>
                <w:szCs w:val="10"/>
                <w:color w:val="auto"/>
              </w:rPr>
            </w:pP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ind w:right="8"/>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A-3</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5"/>
                <w:szCs w:val="15"/>
                <w:color w:val="auto"/>
              </w:rPr>
            </w:pPr>
          </w:p>
        </w:tc>
        <w:tc>
          <w:tcPr>
            <w:tcW w:w="640" w:type="dxa"/>
            <w:vAlign w:val="bottom"/>
            <w:vMerge w:val="restart"/>
          </w:tcPr>
          <w:p>
            <w:pPr>
              <w:jc w:val="center"/>
              <w:ind w:right="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7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rPr>
              <w:t>71,268</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vMerge w:val="restart"/>
          </w:tcPr>
          <w:p>
            <w:pPr>
              <w:jc w:val="right"/>
              <w:ind w:right="218"/>
              <w:spacing w:after="0"/>
              <w:rPr>
                <w:sz w:val="20"/>
                <w:szCs w:val="20"/>
                <w:color w:val="auto"/>
              </w:rPr>
            </w:pPr>
            <w:r>
              <w:rPr>
                <w:rFonts w:ascii="Times New Roman" w:cs="Times New Roman" w:eastAsia="Times New Roman" w:hAnsi="Times New Roman"/>
                <w:sz w:val="13"/>
                <w:szCs w:val="13"/>
                <w:color w:val="0000FF"/>
              </w:rPr>
              <w:t>04/20/2026</w:t>
            </w: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98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color w:val="0000FF"/>
              </w:rPr>
              <w:t>172,328</w:t>
            </w:r>
          </w:p>
        </w:tc>
        <w:tc>
          <w:tcPr>
            <w:tcW w:w="6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jc w:val="right"/>
              <w:ind w:right="27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3"/>
                <w:szCs w:val="3"/>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60" w:type="dxa"/>
            <w:vAlign w:val="bottom"/>
          </w:tcPr>
          <w:p>
            <w:pPr>
              <w:spacing w:after="0"/>
              <w:rPr>
                <w:sz w:val="3"/>
                <w:szCs w:val="3"/>
                <w:color w:val="auto"/>
              </w:rPr>
            </w:pPr>
          </w:p>
        </w:tc>
        <w:tc>
          <w:tcPr>
            <w:tcW w:w="7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4"/>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4"/>
            <w:vMerge w:val="restart"/>
          </w:tcPr>
          <w:p>
            <w:pPr>
              <w:ind w:left="40"/>
              <w:spacing w:after="0" w:line="155"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Borders>
              <w:bottom w:val="single" w:sz="8" w:color="2C2C2C"/>
            </w:tcBorders>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jc w:val="center"/>
              <w:ind w:left="61"/>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A-3</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5"/>
                <w:szCs w:val="15"/>
                <w:color w:val="auto"/>
              </w:rPr>
            </w:pPr>
          </w:p>
        </w:tc>
        <w:tc>
          <w:tcPr>
            <w:tcW w:w="640" w:type="dxa"/>
            <w:vAlign w:val="bottom"/>
            <w:vMerge w:val="restart"/>
          </w:tcPr>
          <w:p>
            <w:pPr>
              <w:jc w:val="center"/>
              <w:ind w:right="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6"/>
              </w:rPr>
              <w:t>2,648,607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vMerge w:val="restart"/>
          </w:tcPr>
          <w:p>
            <w:pPr>
              <w:jc w:val="right"/>
              <w:ind w:right="218"/>
              <w:spacing w:after="0" w:line="101" w:lineRule="exact"/>
              <w:rPr>
                <w:sz w:val="20"/>
                <w:szCs w:val="20"/>
                <w:color w:val="auto"/>
              </w:rPr>
            </w:pPr>
            <w:r>
              <w:rPr>
                <w:rFonts w:ascii="Times New Roman" w:cs="Times New Roman" w:eastAsia="Times New Roman" w:hAnsi="Times New Roman"/>
                <w:sz w:val="11"/>
                <w:szCs w:val="11"/>
                <w:color w:val="0000FF"/>
              </w:rPr>
              <w:t>04/20/2026</w:t>
            </w: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4"/>
            <w:vMerge w:val="restart"/>
          </w:tcPr>
          <w:p>
            <w:pPr>
              <w:ind w:left="12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right"/>
              <w:ind w:right="63"/>
              <w:spacing w:after="0" w:line="101" w:lineRule="exact"/>
              <w:rPr>
                <w:sz w:val="20"/>
                <w:szCs w:val="20"/>
                <w:color w:val="auto"/>
              </w:rPr>
            </w:pPr>
            <w:r>
              <w:rPr>
                <w:rFonts w:ascii="Times New Roman" w:cs="Times New Roman" w:eastAsia="Times New Roman" w:hAnsi="Times New Roman"/>
                <w:sz w:val="11"/>
                <w:szCs w:val="11"/>
                <w:color w:val="0000FF"/>
              </w:rPr>
              <w:t>6,404,332</w:t>
            </w:r>
          </w:p>
        </w:tc>
        <w:tc>
          <w:tcPr>
            <w:tcW w:w="6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jc w:val="right"/>
              <w:ind w:right="273"/>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50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320" w:type="dxa"/>
            <w:vAlign w:val="bottom"/>
          </w:tcPr>
          <w:p>
            <w:pPr>
              <w:spacing w:after="0"/>
              <w:rPr>
                <w:sz w:val="3"/>
                <w:szCs w:val="3"/>
                <w:color w:val="auto"/>
              </w:rPr>
            </w:pPr>
          </w:p>
        </w:tc>
        <w:tc>
          <w:tcPr>
            <w:tcW w:w="600" w:type="dxa"/>
            <w:vAlign w:val="bottom"/>
            <w:vMerge w:val="restart"/>
          </w:tcPr>
          <w:p>
            <w:pPr>
              <w:ind w:left="36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160" w:type="dxa"/>
            <w:vAlign w:val="bottom"/>
          </w:tcPr>
          <w:p>
            <w:pPr>
              <w:spacing w:after="0"/>
              <w:rPr>
                <w:sz w:val="3"/>
                <w:szCs w:val="3"/>
                <w:color w:val="auto"/>
              </w:rPr>
            </w:pPr>
          </w:p>
        </w:tc>
        <w:tc>
          <w:tcPr>
            <w:tcW w:w="7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gridSpan w:val="4"/>
          </w:tcPr>
          <w:p>
            <w:pPr>
              <w:ind w:left="4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jc w:val="center"/>
              <w:ind w:left="61"/>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-1973580</wp:posOffset>
            </wp:positionV>
            <wp:extent cx="28575" cy="2140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4058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A-4</w:t>
            </w: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w w:val="85"/>
              </w:rPr>
              <w:t>(1)</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w w:val="94"/>
              </w:rPr>
              <w:t>Class B</w:t>
            </w:r>
          </w:p>
        </w:tc>
        <w:tc>
          <w:tcPr>
            <w:tcW w:w="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9"/>
              </w:rPr>
              <w:t>63,864</w:t>
            </w: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440" w:type="dxa"/>
            <w:vAlign w:val="bottom"/>
            <w:vMerge w:val="continue"/>
          </w:tcPr>
          <w:p>
            <w:pPr>
              <w:spacing w:after="0"/>
              <w:rPr>
                <w:sz w:val="3"/>
                <w:szCs w:val="3"/>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04/20/2026</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980" w:type="dxa"/>
            <w:vAlign w:val="bottom"/>
            <w:vMerge w:val="restart"/>
          </w:tcPr>
          <w:p>
            <w:pPr>
              <w:jc w:val="center"/>
              <w:ind w:left="61"/>
              <w:spacing w:after="0"/>
              <w:rPr>
                <w:sz w:val="20"/>
                <w:szCs w:val="20"/>
                <w:color w:val="auto"/>
              </w:rPr>
            </w:pPr>
            <w:r>
              <w:rPr>
                <w:rFonts w:ascii="Times New Roman" w:cs="Times New Roman" w:eastAsia="Times New Roman" w:hAnsi="Times New Roman"/>
                <w:sz w:val="13"/>
                <w:szCs w:val="13"/>
                <w:color w:val="0000FF"/>
                <w:w w:val="99"/>
              </w:rPr>
              <w:t>154,425</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9"/>
              <w:spacing w:after="0"/>
              <w:rPr>
                <w:sz w:val="20"/>
                <w:szCs w:val="20"/>
                <w:color w:val="auto"/>
              </w:rPr>
            </w:pPr>
            <w:r>
              <w:rPr>
                <w:rFonts w:ascii="Times New Roman" w:cs="Times New Roman" w:eastAsia="Times New Roman" w:hAnsi="Times New Roman"/>
                <w:sz w:val="13"/>
                <w:szCs w:val="13"/>
                <w:color w:val="0000FF"/>
                <w:w w:val="94"/>
              </w:rPr>
              <w:t>Common</w:t>
            </w:r>
          </w:p>
        </w:tc>
        <w:tc>
          <w:tcPr>
            <w:tcW w:w="900" w:type="dxa"/>
            <w:vAlign w:val="bottom"/>
            <w:vMerge w:val="continue"/>
          </w:tcPr>
          <w:p>
            <w:pPr>
              <w:spacing w:after="0"/>
              <w:rPr>
                <w:sz w:val="3"/>
                <w:szCs w:val="3"/>
                <w:color w:val="auto"/>
              </w:rPr>
            </w:pPr>
          </w:p>
        </w:tc>
        <w:tc>
          <w:tcPr>
            <w:tcW w:w="640" w:type="dxa"/>
            <w:vAlign w:val="bottom"/>
            <w:vMerge w:val="restart"/>
          </w:tcPr>
          <w:p>
            <w:pPr>
              <w:jc w:val="right"/>
              <w:ind w:right="30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21"/>
              <w:spacing w:after="0"/>
              <w:rPr>
                <w:sz w:val="20"/>
                <w:szCs w:val="20"/>
                <w:color w:val="auto"/>
              </w:rPr>
            </w:pPr>
            <w:r>
              <w:rPr>
                <w:rFonts w:ascii="Times New Roman" w:cs="Times New Roman" w:eastAsia="Times New Roman" w:hAnsi="Times New Roman"/>
                <w:sz w:val="13"/>
                <w:szCs w:val="13"/>
                <w:color w:val="0000FF"/>
              </w:rPr>
              <w:t>0</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restart"/>
          </w:tcPr>
          <w:p>
            <w:pPr>
              <w:ind w:left="200"/>
              <w:spacing w:after="0" w:line="155"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80" w:type="dxa"/>
            <w:vAlign w:val="bottom"/>
            <w:tcBorders>
              <w:bottom w:val="single" w:sz="8" w:color="2C2C2C"/>
            </w:tcBorders>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4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9"/>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A-4</w:t>
            </w: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w w:val="85"/>
              </w:rPr>
              <w:t>(1)</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w w:val="94"/>
              </w:rPr>
              <w:t>Class B</w:t>
            </w:r>
          </w:p>
        </w:tc>
        <w:tc>
          <w:tcPr>
            <w:tcW w:w="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9"/>
              </w:rPr>
              <w:t>2,373,437</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8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440" w:type="dxa"/>
            <w:vAlign w:val="bottom"/>
            <w:vMerge w:val="continue"/>
          </w:tcPr>
          <w:p>
            <w:pPr>
              <w:spacing w:after="0"/>
              <w:rPr>
                <w:sz w:val="3"/>
                <w:szCs w:val="3"/>
                <w:color w:val="auto"/>
              </w:rPr>
            </w:pPr>
          </w:p>
        </w:tc>
        <w:tc>
          <w:tcPr>
            <w:tcW w:w="1120" w:type="dxa"/>
            <w:vAlign w:val="bottom"/>
            <w:gridSpan w:val="2"/>
            <w:vMerge w:val="restart"/>
          </w:tcPr>
          <w:p>
            <w:pPr>
              <w:ind w:left="240"/>
              <w:spacing w:after="0" w:line="101" w:lineRule="exact"/>
              <w:rPr>
                <w:sz w:val="20"/>
                <w:szCs w:val="20"/>
                <w:color w:val="auto"/>
              </w:rPr>
            </w:pPr>
            <w:r>
              <w:rPr>
                <w:rFonts w:ascii="Times New Roman" w:cs="Times New Roman" w:eastAsia="Times New Roman" w:hAnsi="Times New Roman"/>
                <w:sz w:val="11"/>
                <w:szCs w:val="11"/>
                <w:color w:val="0000FF"/>
              </w:rPr>
              <w:t>04/20/2026</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61"/>
              <w:spacing w:after="0" w:line="101" w:lineRule="exact"/>
              <w:rPr>
                <w:sz w:val="20"/>
                <w:szCs w:val="20"/>
                <w:color w:val="auto"/>
              </w:rPr>
            </w:pPr>
            <w:r>
              <w:rPr>
                <w:rFonts w:ascii="Times New Roman" w:cs="Times New Roman" w:eastAsia="Times New Roman" w:hAnsi="Times New Roman"/>
                <w:sz w:val="11"/>
                <w:szCs w:val="11"/>
                <w:color w:val="0000FF"/>
              </w:rPr>
              <w:t>5,738,971</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9"/>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900" w:type="dxa"/>
            <w:vAlign w:val="bottom"/>
            <w:vMerge w:val="continue"/>
          </w:tcPr>
          <w:p>
            <w:pPr>
              <w:spacing w:after="0"/>
              <w:rPr>
                <w:sz w:val="3"/>
                <w:szCs w:val="3"/>
                <w:color w:val="auto"/>
              </w:rPr>
            </w:pPr>
          </w:p>
        </w:tc>
        <w:tc>
          <w:tcPr>
            <w:tcW w:w="640" w:type="dxa"/>
            <w:vAlign w:val="bottom"/>
            <w:vMerge w:val="restart"/>
          </w:tcPr>
          <w:p>
            <w:pPr>
              <w:jc w:val="right"/>
              <w:ind w:right="307"/>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780" w:type="dxa"/>
            <w:vAlign w:val="bottom"/>
            <w:vMerge w:val="restart"/>
          </w:tcPr>
          <w:p>
            <w:pPr>
              <w:jc w:val="right"/>
              <w:ind w:right="321"/>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gridSpan w:val="2"/>
          </w:tcPr>
          <w:p>
            <w:pPr>
              <w:ind w:left="20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w w:val="85"/>
              </w:rPr>
              <w:t>(2)</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w w:val="94"/>
              </w:rPr>
              <w:t>Class B</w:t>
            </w:r>
          </w:p>
        </w:tc>
        <w:tc>
          <w:tcPr>
            <w:tcW w:w="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9"/>
              </w:rPr>
              <w:t>50,031</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440" w:type="dxa"/>
            <w:vAlign w:val="bottom"/>
            <w:vMerge w:val="continue"/>
          </w:tcPr>
          <w:p>
            <w:pPr>
              <w:spacing w:after="0"/>
              <w:rPr>
                <w:sz w:val="3"/>
                <w:szCs w:val="3"/>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04/20/2026</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980" w:type="dxa"/>
            <w:vAlign w:val="bottom"/>
            <w:vMerge w:val="restart"/>
          </w:tcPr>
          <w:p>
            <w:pPr>
              <w:jc w:val="center"/>
              <w:ind w:left="41"/>
              <w:spacing w:after="0"/>
              <w:rPr>
                <w:sz w:val="20"/>
                <w:szCs w:val="20"/>
                <w:color w:val="auto"/>
              </w:rPr>
            </w:pPr>
            <w:r>
              <w:rPr>
                <w:rFonts w:ascii="Times New Roman" w:cs="Times New Roman" w:eastAsia="Times New Roman" w:hAnsi="Times New Roman"/>
                <w:sz w:val="13"/>
                <w:szCs w:val="13"/>
                <w:color w:val="0000FF"/>
                <w:w w:val="94"/>
              </w:rPr>
              <w:t>113,625</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9"/>
              <w:spacing w:after="0"/>
              <w:rPr>
                <w:sz w:val="20"/>
                <w:szCs w:val="20"/>
                <w:color w:val="auto"/>
              </w:rPr>
            </w:pPr>
            <w:r>
              <w:rPr>
                <w:rFonts w:ascii="Times New Roman" w:cs="Times New Roman" w:eastAsia="Times New Roman" w:hAnsi="Times New Roman"/>
                <w:sz w:val="13"/>
                <w:szCs w:val="13"/>
                <w:color w:val="0000FF"/>
                <w:w w:val="94"/>
              </w:rPr>
              <w:t>Common</w:t>
            </w:r>
          </w:p>
        </w:tc>
        <w:tc>
          <w:tcPr>
            <w:tcW w:w="900" w:type="dxa"/>
            <w:vAlign w:val="bottom"/>
            <w:vMerge w:val="continue"/>
          </w:tcPr>
          <w:p>
            <w:pPr>
              <w:spacing w:after="0"/>
              <w:rPr>
                <w:sz w:val="3"/>
                <w:szCs w:val="3"/>
                <w:color w:val="auto"/>
              </w:rPr>
            </w:pPr>
          </w:p>
        </w:tc>
        <w:tc>
          <w:tcPr>
            <w:tcW w:w="640" w:type="dxa"/>
            <w:vAlign w:val="bottom"/>
            <w:vMerge w:val="restart"/>
          </w:tcPr>
          <w:p>
            <w:pPr>
              <w:jc w:val="right"/>
              <w:ind w:right="307"/>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21"/>
              <w:spacing w:after="0"/>
              <w:rPr>
                <w:sz w:val="20"/>
                <w:szCs w:val="20"/>
                <w:color w:val="auto"/>
              </w:rPr>
            </w:pPr>
            <w:r>
              <w:rPr>
                <w:rFonts w:ascii="Times New Roman" w:cs="Times New Roman" w:eastAsia="Times New Roman" w:hAnsi="Times New Roman"/>
                <w:sz w:val="13"/>
                <w:szCs w:val="13"/>
                <w:color w:val="0000FF"/>
              </w:rPr>
              <w:t>0</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restart"/>
          </w:tcPr>
          <w:p>
            <w:pPr>
              <w:ind w:left="200"/>
              <w:spacing w:after="0" w:line="155"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80" w:type="dxa"/>
            <w:vAlign w:val="bottom"/>
            <w:tcBorders>
              <w:bottom w:val="single" w:sz="8" w:color="2C2C2C"/>
            </w:tcBorders>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4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jc w:val="center"/>
              <w:ind w:left="59"/>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9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w w:val="85"/>
              </w:rPr>
              <w:t>(2)</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w w:val="94"/>
              </w:rPr>
              <w:t>Class B</w:t>
            </w:r>
          </w:p>
        </w:tc>
        <w:tc>
          <w:tcPr>
            <w:tcW w:w="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9"/>
              </w:rPr>
              <w:t>1,859,366</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8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440" w:type="dxa"/>
            <w:vAlign w:val="bottom"/>
            <w:vMerge w:val="continue"/>
          </w:tcPr>
          <w:p>
            <w:pPr>
              <w:spacing w:after="0"/>
              <w:rPr>
                <w:sz w:val="3"/>
                <w:szCs w:val="3"/>
                <w:color w:val="auto"/>
              </w:rPr>
            </w:pPr>
          </w:p>
        </w:tc>
        <w:tc>
          <w:tcPr>
            <w:tcW w:w="1120" w:type="dxa"/>
            <w:vAlign w:val="bottom"/>
            <w:gridSpan w:val="2"/>
            <w:vMerge w:val="restart"/>
          </w:tcPr>
          <w:p>
            <w:pPr>
              <w:ind w:left="240"/>
              <w:spacing w:after="0" w:line="101" w:lineRule="exact"/>
              <w:rPr>
                <w:sz w:val="20"/>
                <w:szCs w:val="20"/>
                <w:color w:val="auto"/>
              </w:rPr>
            </w:pPr>
            <w:r>
              <w:rPr>
                <w:rFonts w:ascii="Times New Roman" w:cs="Times New Roman" w:eastAsia="Times New Roman" w:hAnsi="Times New Roman"/>
                <w:sz w:val="11"/>
                <w:szCs w:val="11"/>
                <w:color w:val="0000FF"/>
              </w:rPr>
              <w:t>04/20/2026</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61"/>
              <w:spacing w:after="0" w:line="101" w:lineRule="exact"/>
              <w:rPr>
                <w:sz w:val="20"/>
                <w:szCs w:val="20"/>
                <w:color w:val="auto"/>
              </w:rPr>
            </w:pPr>
            <w:r>
              <w:rPr>
                <w:rFonts w:ascii="Times New Roman" w:cs="Times New Roman" w:eastAsia="Times New Roman" w:hAnsi="Times New Roman"/>
                <w:sz w:val="11"/>
                <w:szCs w:val="11"/>
                <w:color w:val="0000FF"/>
              </w:rPr>
              <w:t>4,222,738</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9"/>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900" w:type="dxa"/>
            <w:vAlign w:val="bottom"/>
            <w:vMerge w:val="continue"/>
          </w:tcPr>
          <w:p>
            <w:pPr>
              <w:spacing w:after="0"/>
              <w:rPr>
                <w:sz w:val="3"/>
                <w:szCs w:val="3"/>
                <w:color w:val="auto"/>
              </w:rPr>
            </w:pPr>
          </w:p>
        </w:tc>
        <w:tc>
          <w:tcPr>
            <w:tcW w:w="640" w:type="dxa"/>
            <w:vAlign w:val="bottom"/>
            <w:vMerge w:val="restart"/>
          </w:tcPr>
          <w:p>
            <w:pPr>
              <w:jc w:val="right"/>
              <w:ind w:right="307"/>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780" w:type="dxa"/>
            <w:vAlign w:val="bottom"/>
            <w:vMerge w:val="restart"/>
          </w:tcPr>
          <w:p>
            <w:pPr>
              <w:jc w:val="right"/>
              <w:ind w:right="321"/>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gridSpan w:val="2"/>
          </w:tcPr>
          <w:p>
            <w:pPr>
              <w:ind w:left="20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w w:val="85"/>
              </w:rPr>
              <w:t>(1)</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w w:val="94"/>
              </w:rPr>
              <w:t>Class B</w:t>
            </w:r>
          </w:p>
        </w:tc>
        <w:tc>
          <w:tcPr>
            <w:tcW w:w="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9"/>
              </w:rPr>
              <w:t>1,605,645</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8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440" w:type="dxa"/>
            <w:vAlign w:val="bottom"/>
            <w:vMerge w:val="continue"/>
          </w:tcPr>
          <w:p>
            <w:pPr>
              <w:spacing w:after="0"/>
              <w:rPr>
                <w:sz w:val="3"/>
                <w:szCs w:val="3"/>
                <w:color w:val="auto"/>
              </w:rPr>
            </w:pPr>
          </w:p>
        </w:tc>
        <w:tc>
          <w:tcPr>
            <w:tcW w:w="1120" w:type="dxa"/>
            <w:vAlign w:val="bottom"/>
            <w:gridSpan w:val="2"/>
            <w:vMerge w:val="restart"/>
          </w:tcPr>
          <w:p>
            <w:pPr>
              <w:ind w:left="240"/>
              <w:spacing w:after="0" w:line="101" w:lineRule="exact"/>
              <w:rPr>
                <w:sz w:val="20"/>
                <w:szCs w:val="20"/>
                <w:color w:val="auto"/>
              </w:rPr>
            </w:pPr>
            <w:r>
              <w:rPr>
                <w:rFonts w:ascii="Times New Roman" w:cs="Times New Roman" w:eastAsia="Times New Roman" w:hAnsi="Times New Roman"/>
                <w:sz w:val="11"/>
                <w:szCs w:val="11"/>
                <w:color w:val="0000FF"/>
              </w:rPr>
              <w:t>04/20/2026</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61"/>
              <w:spacing w:after="0" w:line="101" w:lineRule="exact"/>
              <w:rPr>
                <w:sz w:val="20"/>
                <w:szCs w:val="20"/>
                <w:color w:val="auto"/>
              </w:rPr>
            </w:pPr>
            <w:r>
              <w:rPr>
                <w:rFonts w:ascii="Times New Roman" w:cs="Times New Roman" w:eastAsia="Times New Roman" w:hAnsi="Times New Roman"/>
                <w:sz w:val="11"/>
                <w:szCs w:val="11"/>
                <w:color w:val="0000FF"/>
              </w:rPr>
              <w:t>3,882,451</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9"/>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900" w:type="dxa"/>
            <w:vAlign w:val="bottom"/>
            <w:vMerge w:val="continue"/>
          </w:tcPr>
          <w:p>
            <w:pPr>
              <w:spacing w:after="0"/>
              <w:rPr>
                <w:sz w:val="3"/>
                <w:szCs w:val="3"/>
                <w:color w:val="auto"/>
              </w:rPr>
            </w:pPr>
          </w:p>
        </w:tc>
        <w:tc>
          <w:tcPr>
            <w:tcW w:w="640" w:type="dxa"/>
            <w:vAlign w:val="bottom"/>
            <w:vMerge w:val="restart"/>
          </w:tcPr>
          <w:p>
            <w:pPr>
              <w:jc w:val="right"/>
              <w:ind w:right="307"/>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780" w:type="dxa"/>
            <w:vAlign w:val="bottom"/>
            <w:vMerge w:val="restart"/>
          </w:tcPr>
          <w:p>
            <w:pPr>
              <w:jc w:val="right"/>
              <w:ind w:right="321"/>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gridSpan w:val="2"/>
          </w:tcPr>
          <w:p>
            <w:pPr>
              <w:ind w:left="20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w w:val="85"/>
              </w:rPr>
              <w:t>(1)</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w w:val="94"/>
              </w:rPr>
              <w:t>Class B</w:t>
            </w:r>
          </w:p>
        </w:tc>
        <w:tc>
          <w:tcPr>
            <w:tcW w:w="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0000FF"/>
                <w:w w:val="99"/>
              </w:rPr>
              <w:t>1,922,329</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8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440" w:type="dxa"/>
            <w:vAlign w:val="bottom"/>
            <w:vMerge w:val="continue"/>
          </w:tcPr>
          <w:p>
            <w:pPr>
              <w:spacing w:after="0"/>
              <w:rPr>
                <w:sz w:val="3"/>
                <w:szCs w:val="3"/>
                <w:color w:val="auto"/>
              </w:rPr>
            </w:pPr>
          </w:p>
        </w:tc>
        <w:tc>
          <w:tcPr>
            <w:tcW w:w="1120" w:type="dxa"/>
            <w:vAlign w:val="bottom"/>
            <w:gridSpan w:val="2"/>
            <w:vMerge w:val="restart"/>
          </w:tcPr>
          <w:p>
            <w:pPr>
              <w:ind w:left="240"/>
              <w:spacing w:after="0" w:line="101" w:lineRule="exact"/>
              <w:rPr>
                <w:sz w:val="20"/>
                <w:szCs w:val="20"/>
                <w:color w:val="auto"/>
              </w:rPr>
            </w:pPr>
            <w:r>
              <w:rPr>
                <w:rFonts w:ascii="Times New Roman" w:cs="Times New Roman" w:eastAsia="Times New Roman" w:hAnsi="Times New Roman"/>
                <w:sz w:val="11"/>
                <w:szCs w:val="11"/>
                <w:color w:val="0000FF"/>
              </w:rPr>
              <w:t>04/20/2026</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80" w:type="dxa"/>
            <w:vAlign w:val="bottom"/>
            <w:vMerge w:val="restart"/>
          </w:tcPr>
          <w:p>
            <w:pPr>
              <w:jc w:val="center"/>
              <w:ind w:left="61"/>
              <w:spacing w:after="0" w:line="101" w:lineRule="exact"/>
              <w:rPr>
                <w:sz w:val="20"/>
                <w:szCs w:val="20"/>
                <w:color w:val="auto"/>
              </w:rPr>
            </w:pPr>
            <w:r>
              <w:rPr>
                <w:rFonts w:ascii="Times New Roman" w:cs="Times New Roman" w:eastAsia="Times New Roman" w:hAnsi="Times New Roman"/>
                <w:sz w:val="11"/>
                <w:szCs w:val="11"/>
                <w:color w:val="0000FF"/>
              </w:rPr>
              <w:t>4,648,194</w:t>
            </w:r>
          </w:p>
        </w:tc>
        <w:tc>
          <w:tcPr>
            <w:tcW w:w="6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restart"/>
          </w:tcPr>
          <w:p>
            <w:pPr>
              <w:jc w:val="center"/>
              <w:ind w:left="59"/>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900" w:type="dxa"/>
            <w:vAlign w:val="bottom"/>
            <w:vMerge w:val="continue"/>
          </w:tcPr>
          <w:p>
            <w:pPr>
              <w:spacing w:after="0"/>
              <w:rPr>
                <w:sz w:val="3"/>
                <w:szCs w:val="3"/>
                <w:color w:val="auto"/>
              </w:rPr>
            </w:pPr>
          </w:p>
        </w:tc>
        <w:tc>
          <w:tcPr>
            <w:tcW w:w="640" w:type="dxa"/>
            <w:vAlign w:val="bottom"/>
            <w:vMerge w:val="restart"/>
          </w:tcPr>
          <w:p>
            <w:pPr>
              <w:jc w:val="right"/>
              <w:ind w:right="307"/>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780" w:type="dxa"/>
            <w:vAlign w:val="bottom"/>
            <w:vMerge w:val="restart"/>
          </w:tcPr>
          <w:p>
            <w:pPr>
              <w:jc w:val="right"/>
              <w:ind w:right="321"/>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2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gridSpan w:val="2"/>
          </w:tcPr>
          <w:p>
            <w:pPr>
              <w:ind w:left="20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59"/>
              <w:spacing w:after="0"/>
              <w:rPr>
                <w:sz w:val="20"/>
                <w:szCs w:val="20"/>
                <w:color w:val="auto"/>
              </w:rPr>
            </w:pPr>
            <w:r>
              <w:rPr>
                <w:rFonts w:ascii="Times New Roman" w:cs="Times New Roman" w:eastAsia="Times New Roman" w:hAnsi="Times New Roman"/>
                <w:sz w:val="13"/>
                <w:szCs w:val="13"/>
                <w:color w:val="0000FF"/>
              </w:rPr>
              <w:t>Stock</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820" w:type="dxa"/>
            <w:vAlign w:val="bottom"/>
            <w:tcBorders>
              <w:top w:val="single" w:sz="8" w:color="2C2C2C"/>
            </w:tcBorders>
            <w:gridSpan w:val="8"/>
          </w:tcPr>
          <w:p>
            <w:pPr>
              <w:ind w:left="60"/>
              <w:spacing w:after="0" w:line="22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6"/>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Qiming Corporate GP VI, Ltd.</w:t>
              </w:r>
            </w:hyperlink>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color w:val="auto"/>
              </w:rPr>
              <w:t>(First)</w:t>
            </w:r>
          </w:p>
        </w:tc>
        <w:tc>
          <w:tcPr>
            <w:tcW w:w="154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MAPLES CORPORATE SERVICES LIMITED</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0000FF"/>
                <w:w w:val="99"/>
              </w:rPr>
              <w:t>PO BOX 309</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UGLAND HOUSE</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E9</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KY1-1104</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color w:val="auto"/>
              </w:rPr>
              <w:t>(State)</w:t>
            </w:r>
          </w:p>
        </w:tc>
        <w:tc>
          <w:tcPr>
            <w:tcW w:w="154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9"/>
          </w:tcPr>
          <w:p>
            <w:pPr>
              <w:spacing w:after="0" w:line="213"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Qiming Managing Directors Fund VI, L.P.</w:t>
              </w:r>
            </w:hyperlink>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color w:val="auto"/>
              </w:rPr>
              <w:t>(First)</w:t>
            </w:r>
          </w:p>
        </w:tc>
        <w:tc>
          <w:tcPr>
            <w:tcW w:w="154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MAPLES CORPORATE SERVICES LIMITED</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0000FF"/>
                <w:w w:val="99"/>
              </w:rPr>
              <w:t>PO BOX 309</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UGLAND HOUSE</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E9</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KY1-1104</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color w:val="auto"/>
              </w:rPr>
              <w:t>(State)</w:t>
            </w:r>
          </w:p>
        </w:tc>
        <w:tc>
          <w:tcPr>
            <w:tcW w:w="154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6"/>
          </w:tcPr>
          <w:p>
            <w:pPr>
              <w:spacing w:after="0" w:line="213" w:lineRule="exact"/>
              <w:rPr>
                <w:rFonts w:ascii="Times New Roman" w:cs="Times New Roman" w:eastAsia="Times New Roman" w:hAnsi="Times New Roman"/>
                <w:sz w:val="20"/>
                <w:szCs w:val="20"/>
                <w:color w:val="0000EE"/>
                <w:w w:val="99"/>
              </w:rPr>
            </w:pPr>
            <w:hyperlink r:id="rId18">
              <w:r>
                <w:rPr>
                  <w:rFonts w:ascii="Times New Roman" w:cs="Times New Roman" w:eastAsia="Times New Roman" w:hAnsi="Times New Roman"/>
                  <w:sz w:val="20"/>
                  <w:szCs w:val="20"/>
                  <w:color w:val="0000EE"/>
                  <w:w w:val="99"/>
                </w:rPr>
                <w:t>Qiming Venture Partners VI, L.P.</w:t>
              </w:r>
            </w:hyperlink>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color w:val="auto"/>
              </w:rPr>
              <w:t>(First)</w:t>
            </w:r>
          </w:p>
        </w:tc>
        <w:tc>
          <w:tcPr>
            <w:tcW w:w="154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MAPLES CORPORATE SERVICES LIMITED</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0000FF"/>
                <w:w w:val="99"/>
              </w:rPr>
              <w:t>PO BOX 309</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UGLAND HOUSE</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E9</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KY1-1104</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color w:val="auto"/>
              </w:rPr>
              <w:t>(State)</w:t>
            </w:r>
          </w:p>
        </w:tc>
        <w:tc>
          <w:tcPr>
            <w:tcW w:w="154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6"/>
          </w:tcPr>
          <w:p>
            <w:pPr>
              <w:spacing w:after="0" w:line="213"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Qiming GP VIII, LLC</w:t>
              </w:r>
            </w:hyperlink>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color w:val="auto"/>
              </w:rPr>
              <w:t>(First)</w:t>
            </w:r>
          </w:p>
        </w:tc>
        <w:tc>
          <w:tcPr>
            <w:tcW w:w="154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MAPLES CORPORATE SERVICES LIMITED</w:t>
            </w: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0000FF"/>
                <w:w w:val="99"/>
              </w:rPr>
              <w:t>PO BOX 309</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UGLAND HOUSE</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E9</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KY1-1104</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color w:val="auto"/>
              </w:rPr>
              <w:t>(State)</w:t>
            </w:r>
          </w:p>
        </w:tc>
        <w:tc>
          <w:tcPr>
            <w:tcW w:w="154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9" w:right="359" w:bottom="0" w:gutter="0" w:footer="0" w:header="0"/>
        </w:sectPr>
      </w:pPr>
    </w:p>
    <w:p>
      <w:pPr>
        <w:ind w:left="120"/>
        <w:spacing w:after="0"/>
        <w:rPr>
          <w:rFonts w:ascii="Times New Roman" w:cs="Times New Roman" w:eastAsia="Times New Roman" w:hAnsi="Times New Roman"/>
          <w:sz w:val="19"/>
          <w:szCs w:val="19"/>
          <w:u w:val="single" w:color="auto"/>
          <w:color w:val="0000EE"/>
        </w:rPr>
      </w:pPr>
      <w:hyperlink r:id="rId20">
        <w:r>
          <w:rPr>
            <w:rFonts w:ascii="Times New Roman" w:cs="Times New Roman" w:eastAsia="Times New Roman" w:hAnsi="Times New Roman"/>
            <w:sz w:val="19"/>
            <w:szCs w:val="19"/>
            <w:u w:val="single" w:color="auto"/>
            <w:color w:val="0000EE"/>
          </w:rPr>
          <w:t>Qiming Venture Partners VIII Investments, LLC</w:t>
        </w:r>
      </w:hyperlink>
    </w:p>
    <w:p>
      <w:pPr>
        <w:sectPr>
          <w:pgSz w:w="11900" w:h="16838" w:orient="portrait"/>
          <w:cols w:equalWidth="0" w:num="1">
            <w:col w:w="11080"/>
          </w:cols>
          <w:pgMar w:left="460" w:top="189" w:right="359" w:bottom="0" w:gutter="0" w:footer="0" w:header="0"/>
          <w:type w:val="continuous"/>
        </w:sectPr>
      </w:pPr>
    </w:p>
    <w:bookmarkStart w:id="2" w:name="page3"/>
    <w:bookmarkEnd w:id="2"/>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4563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12415" cy="4563110"/>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MAPLES CORPORATE SERVICES LIMITED</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PO BOX 309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UGLAND HOUSE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E9</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KY1-1104</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3"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Qiming GP VIII-HC,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MAPLES CORPORATE SERVICES LIMITED</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PO BOX 309</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UGLAND HOUSE</w:t>
            </w: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E9</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KY1-1104</w:t>
            </w:r>
          </w:p>
        </w:tc>
      </w:tr>
      <w:tr>
        <w:trPr>
          <w:trHeight w:val="145"/>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Qiming Venture Partners VIII-HC, L.P.</w:t>
        </w:r>
      </w:hyperlink>
    </w:p>
    <w:p>
      <w:pPr>
        <w:spacing w:after="0" w:line="286"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MAPLES CORPORATE SERVICES LIMITED</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PO BOX 309</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UGLAND HOUSE</w:t>
            </w: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E9</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KY1-1104</w:t>
            </w:r>
          </w:p>
        </w:tc>
      </w:tr>
      <w:tr>
        <w:trPr>
          <w:trHeight w:val="145"/>
        </w:trPr>
        <w:tc>
          <w:tcPr>
            <w:tcW w:w="20" w:type="dxa"/>
            <w:vAlign w:val="bottom"/>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right="160" w:hanging="2"/>
        <w:spacing w:after="0" w:line="243"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the Series A-3 Preferred Stock, Series A-4 Preferred Stock and Series C Preferred Stock converted into 0.4136 share of Class B Common Stock at the closing of the initial public offering. The Series A-3 Preferred Stock, Series A-4 Preferred Stock and Series C Preferred Stock had no expiration date.</w:t>
      </w:r>
    </w:p>
    <w:p>
      <w:pPr>
        <w:spacing w:after="0" w:line="22"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B Preferred Stock converted into 0.4403 share of Class B Common Stock at the closing of the initial public offering. The Series B Preferred Stock had no expiration date.</w:t>
      </w:r>
    </w:p>
    <w:p>
      <w:pPr>
        <w:spacing w:after="0" w:line="38" w:lineRule="exact"/>
        <w:rPr>
          <w:rFonts w:ascii="Times New Roman" w:cs="Times New Roman" w:eastAsia="Times New Roman" w:hAnsi="Times New Roman"/>
          <w:sz w:val="13"/>
          <w:szCs w:val="13"/>
          <w:color w:val="008000"/>
        </w:rPr>
      </w:pPr>
    </w:p>
    <w:p>
      <w:pPr>
        <w:ind w:left="20" w:hanging="2"/>
        <w:spacing w:after="0" w:line="234"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Qiming Managing Directors Fund VI, L.P. ("Qiming Managing Directors"). Qiming Corporate GP VI, Ltd. ("Qiming Corporate") serves as the general partner of Qiming Managing Directors and may be deemed to have voting and dispositive power over the shares held by Qiming Managing Directors. Qiming Corporate disclaims beneficial ownership of such shares, except to the extent of its proportionate pecuniary interest therein.</w:t>
      </w:r>
    </w:p>
    <w:p>
      <w:pPr>
        <w:spacing w:after="0" w:line="25" w:lineRule="exact"/>
        <w:rPr>
          <w:rFonts w:ascii="Times New Roman" w:cs="Times New Roman" w:eastAsia="Times New Roman" w:hAnsi="Times New Roman"/>
          <w:sz w:val="13"/>
          <w:szCs w:val="13"/>
          <w:color w:val="008000"/>
        </w:rPr>
      </w:pPr>
    </w:p>
    <w:p>
      <w:pPr>
        <w:ind w:left="20" w:right="100" w:hanging="2"/>
        <w:spacing w:after="0" w:line="234"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Qiming Venture Partners VI, L.P., ("Qiming Venture Partners VI"). Qiming Corporate, through one intermediary, serves as the indirect general partner of Qiming Venture Partners VI and may be deemed to have voting and dispositive power over the shares held by Qiming Venture Partners VI. Qiming Corporate disclaims beneficial ownership of such shares, except to the extent of its proportionate pecuniary interest therein.</w:t>
      </w:r>
    </w:p>
    <w:p>
      <w:pPr>
        <w:spacing w:after="0" w:line="25" w:lineRule="exact"/>
        <w:rPr>
          <w:rFonts w:ascii="Times New Roman" w:cs="Times New Roman" w:eastAsia="Times New Roman" w:hAnsi="Times New Roman"/>
          <w:sz w:val="13"/>
          <w:szCs w:val="13"/>
          <w:color w:val="008000"/>
        </w:rPr>
      </w:pPr>
    </w:p>
    <w:p>
      <w:pPr>
        <w:ind w:left="20" w:right="60" w:hanging="2"/>
        <w:spacing w:after="0" w:line="234" w:lineRule="auto"/>
        <w:tabs>
          <w:tab w:leader="none" w:pos="14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Qiming Venture Partners VIII Investments, LLC ("QVP VIII LLC"). Qiming GP VIII, LLC, through two parallel intermediaries, serves as the indirect general partner of QVP VIII LLC and may be deemed to have voting and dispositive power over the shares held by QVP VIII LLC. Qiming GP VIII, LLC disclaims beneficial ownership of such shares, except to the extent of its proportionate pecuniary interest therein.</w:t>
      </w:r>
    </w:p>
    <w:p>
      <w:pPr>
        <w:spacing w:after="0" w:line="25" w:lineRule="exact"/>
        <w:rPr>
          <w:rFonts w:ascii="Times New Roman" w:cs="Times New Roman" w:eastAsia="Times New Roman" w:hAnsi="Times New Roman"/>
          <w:sz w:val="13"/>
          <w:szCs w:val="13"/>
          <w:color w:val="008000"/>
        </w:rPr>
      </w:pPr>
    </w:p>
    <w:p>
      <w:pPr>
        <w:ind w:left="20" w:right="440" w:hanging="2"/>
        <w:spacing w:after="0" w:line="308" w:lineRule="auto"/>
        <w:tabs>
          <w:tab w:leader="none" w:pos="14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shares are held of record by Qiming Venture Partners VIII-HC, L.P. ("QVP VIII-HC"). Qiming GP VIII-HC, LLC serves as the general partner of QVP VIII-HC and may be deemed to have voting and dispositive power over the shares held by QVP VIII-HC. Qiming GP VIII-HC, LLC disclaims beneficial ownership of such shares, except to the extent of its proportionate pecuniary interest therein.</w:t>
      </w: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was automatically reclassified into one share of Common Stock immediately prior to the completion of the Issuer's initial public offering of Common Stock.</w:t>
      </w:r>
    </w:p>
    <w:p>
      <w:pPr>
        <w:sectPr>
          <w:pgSz w:w="11900" w:h="16838" w:orient="portrait"/>
          <w:cols w:equalWidth="0" w:num="1">
            <w:col w:w="10920"/>
          </w:cols>
          <w:pgMar w:left="480" w:top="164" w:right="499" w:bottom="701" w:gutter="0" w:footer="0" w:header="0"/>
        </w:sectPr>
      </w:pP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Qiming GP VIII,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21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 Man LAM/Authorized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89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401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40132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Qiming Venture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29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Investments, LLC By: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95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 LAM/Manager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840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Qiming Corporate GP VI,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4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Ho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639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LAM/Authorized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499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Qiming Managing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169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Fund VI, L.P. By: /s/ Ho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24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LAM/Authorized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499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Qiming Venture Partners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186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L.P. By: /s/ Ho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8261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LAM/Authorized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499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Qiming GP VIII-HC,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757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Ho Man LAM/Authorized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128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401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0132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Qiming Venture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-5080</wp:posOffset>
            </wp:positionV>
            <wp:extent cx="12642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HC, L.P. By: /s/ Ho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21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LAM/Authorized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499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580" w:space="200"/>
            <w:col w:w="2140"/>
          </w:cols>
          <w:pgMar w:left="480" w:top="164" w:right="499" w:bottom="701"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80" w:hanging="2"/>
        <w:spacing w:after="0" w:line="355"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64" w:right="499" w:bottom="7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13" Type="http://schemas.openxmlformats.org/officeDocument/2006/relationships/hyperlink" Target="http://www.sec.gov/cgi-bin/browse-edgar?action=getcompany&amp;CIK=0002059127" TargetMode="External"/><Relationship Id="rId14" Type="http://schemas.openxmlformats.org/officeDocument/2006/relationships/hyperlink" Target="http://www.sec.gov/cgi-bin/browse-edgar?action=getcompany&amp;CIK=0002104204" TargetMode="External"/><Relationship Id="rId17" Type="http://schemas.openxmlformats.org/officeDocument/2006/relationships/hyperlink" Target="http://www.sec.gov/cgi-bin/browse-edgar?action=getcompany&amp;CIK=0001733282" TargetMode="External"/><Relationship Id="rId18" Type="http://schemas.openxmlformats.org/officeDocument/2006/relationships/hyperlink" Target="http://www.sec.gov/cgi-bin/browse-edgar?action=getcompany&amp;CIK=0001733278" TargetMode="External"/><Relationship Id="rId19" Type="http://schemas.openxmlformats.org/officeDocument/2006/relationships/hyperlink" Target="http://www.sec.gov/cgi-bin/browse-edgar?action=getcompany&amp;CIK=0002129740" TargetMode="External"/><Relationship Id="rId20" Type="http://schemas.openxmlformats.org/officeDocument/2006/relationships/hyperlink" Target="http://www.sec.gov/cgi-bin/browse-edgar?action=getcompany&amp;CIK=0002129618" TargetMode="External"/><Relationship Id="rId22" Type="http://schemas.openxmlformats.org/officeDocument/2006/relationships/hyperlink" Target="http://www.sec.gov/cgi-bin/browse-edgar?action=getcompany&amp;CIK=0002129671" TargetMode="External"/><Relationship Id="rId23" Type="http://schemas.openxmlformats.org/officeDocument/2006/relationships/hyperlink" Target="http://www.sec.gov/cgi-bin/browse-edgar?action=getcompany&amp;CIK=00019100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2026-04-22T15:37:58Z</dcterms:created>
  <dcterms:modified xsi:type="dcterms:W3CDTF">2026-04-22T15:37:58Z</dcterms:modified>
</cp:coreProperties>
</file>