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2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-177800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24" w:lineRule="exact"/>
        <w:rPr>
          <w:sz w:val="24"/>
          <w:szCs w:val="24"/>
          <w:color w:val="auto"/>
        </w:rPr>
      </w:pPr>
    </w:p>
    <w:p>
      <w:pPr>
        <w:ind w:left="320" w:right="6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5"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-593090</wp:posOffset>
            </wp:positionV>
            <wp:extent cx="5651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642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-593090</wp:posOffset>
            </wp:positionV>
            <wp:extent cx="56515" cy="60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64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628015</wp:posOffset>
            </wp:positionV>
            <wp:extent cx="7000875" cy="8855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8855710"/>
                    </a:xfrm>
                    <a:prstGeom prst="rect">
                      <a:avLst/>
                    </a:prstGeom>
                    <a:noFill/>
                  </pic:spPr>
                </pic:pic>
              </a:graphicData>
            </a:graphic>
          </wp:anchor>
        </w:drawing>
      </w:r>
    </w:p>
    <w:p>
      <w:pPr>
        <w:spacing w:after="0" w:line="1056" w:lineRule="exact"/>
        <w:rPr>
          <w:sz w:val="24"/>
          <w:szCs w:val="24"/>
          <w:color w:val="auto"/>
        </w:rPr>
      </w:pPr>
    </w:p>
    <w:p>
      <w:pPr>
        <w:sectPr>
          <w:pgSz w:w="11900" w:h="16838" w:orient="portrait"/>
          <w:cols w:equalWidth="0" w:num="2">
            <w:col w:w="2320" w:space="420"/>
            <w:col w:w="8340"/>
          </w:cols>
          <w:pgMar w:left="460" w:top="212" w:right="359" w:bottom="22"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Illumina Innovation Fund II GP, L.L.C.</w:t>
        </w:r>
      </w:hyperlink>
    </w:p>
    <w:p>
      <w:pPr>
        <w:spacing w:after="0" w:line="296"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500 LINCOLN CENTRE DRIVE, SUITE 110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u w:val="single" w:color="auto"/>
            <w:color w:val="0000EE"/>
          </w:rPr>
          <w:t>Alamar Biosciences, Inc.</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ALMR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04/16/2026</w:t>
      </w:r>
    </w:p>
    <w:p>
      <w:pPr>
        <w:spacing w:after="0" w:line="20" w:lineRule="exact"/>
        <w:rPr>
          <w:sz w:val="24"/>
          <w:szCs w:val="24"/>
          <w:color w:val="auto"/>
        </w:rPr>
      </w:pPr>
      <w:r>
        <w:rPr>
          <w:sz w:val="24"/>
          <w:szCs w:val="24"/>
          <w:color w:val="auto"/>
        </w:rPr>
        <w:br w:type="column"/>
      </w:r>
    </w:p>
    <w:p>
      <w:pPr>
        <w:ind w:left="4" w:right="780" w:hanging="4"/>
        <w:spacing w:after="0" w:line="272" w:lineRule="auto"/>
        <w:tabs>
          <w:tab w:leader="none" w:pos="1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1725"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620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20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0" w:lineRule="exact"/>
        <w:rPr>
          <w:sz w:val="24"/>
          <w:szCs w:val="24"/>
          <w:color w:val="auto"/>
        </w:rPr>
      </w:pPr>
    </w:p>
    <w:p>
      <w:pPr>
        <w:sectPr>
          <w:pgSz w:w="11900" w:h="16838" w:orient="portrait"/>
          <w:cols w:equalWidth="0" w:num="3">
            <w:col w:w="3180" w:space="720"/>
            <w:col w:w="3116" w:space="720"/>
            <w:col w:w="3344"/>
          </w:cols>
          <w:pgMar w:left="460" w:top="212" w:right="359" w:bottom="22" w:gutter="0" w:footer="0" w:header="0"/>
          <w:type w:val="continuous"/>
        </w:sectPr>
      </w:pP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72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40" w:type="dxa"/>
            <w:vAlign w:val="bottom"/>
            <w:gridSpan w:val="9"/>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FOSTER CITY   CA</w:t>
            </w:r>
          </w:p>
        </w:tc>
        <w:tc>
          <w:tcPr>
            <w:tcW w:w="7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94404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gridSpan w:val="8"/>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1720" w:type="dxa"/>
            <w:vAlign w:val="bottom"/>
            <w:gridSpan w:val="2"/>
          </w:tcPr>
          <w:p>
            <w:pPr>
              <w:ind w:left="60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420" w:type="dxa"/>
            <w:vAlign w:val="bottom"/>
            <w:tcBorders>
              <w:top w:val="single" w:sz="8" w:color="2C2C2C"/>
            </w:tcBorders>
            <w:gridSpan w:val="15"/>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0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4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740" w:type="dxa"/>
            <w:vAlign w:val="bottom"/>
          </w:tcPr>
          <w:p>
            <w:pPr>
              <w:spacing w:after="0"/>
              <w:rPr>
                <w:sz w:val="13"/>
                <w:szCs w:val="13"/>
                <w:color w:val="auto"/>
              </w:rPr>
            </w:pPr>
          </w:p>
        </w:tc>
        <w:tc>
          <w:tcPr>
            <w:tcW w:w="1140" w:type="dxa"/>
            <w:vAlign w:val="bottom"/>
            <w:gridSpan w:val="4"/>
          </w:tcPr>
          <w:p>
            <w:pPr>
              <w:ind w:left="240"/>
              <w:spacing w:after="0"/>
              <w:rPr>
                <w:sz w:val="20"/>
                <w:szCs w:val="20"/>
                <w:color w:val="auto"/>
              </w:rPr>
            </w:pPr>
            <w:r>
              <w:rPr>
                <w:rFonts w:ascii="Arial" w:cs="Arial" w:eastAsia="Arial" w:hAnsi="Arial"/>
                <w:sz w:val="11"/>
                <w:szCs w:val="11"/>
                <w:b w:val="1"/>
                <w:bCs w:val="1"/>
                <w:color w:val="auto"/>
              </w:rPr>
              <w:t>2. Transaction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4"/>
          </w:tcPr>
          <w:p>
            <w:pPr>
              <w:ind w:left="240"/>
              <w:spacing w:after="0" w:line="122"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center"/>
              <w:ind w:right="37"/>
              <w:spacing w:after="0" w:line="122" w:lineRule="exact"/>
              <w:rPr>
                <w:sz w:val="20"/>
                <w:szCs w:val="20"/>
                <w:color w:val="auto"/>
              </w:rPr>
            </w:pPr>
            <w:r>
              <w:rPr>
                <w:rFonts w:ascii="Arial" w:cs="Arial" w:eastAsia="Arial" w:hAnsi="Arial"/>
                <w:sz w:val="11"/>
                <w:szCs w:val="11"/>
                <w:b w:val="1"/>
                <w:bCs w:val="1"/>
                <w:color w:val="auto"/>
                <w:w w:val="99"/>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4"/>
          </w:tcPr>
          <w:p>
            <w:pPr>
              <w:jc w:val="center"/>
              <w:ind w:left="179"/>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4"/>
            <w:vMerge w:val="restart"/>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0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4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Class B Common Stock</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6"/>
                <w:szCs w:val="16"/>
                <w:color w:val="0000FF"/>
                <w:w w:val="98"/>
              </w:rPr>
              <w:t>04/20/2026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76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6"/>
                <w:szCs w:val="16"/>
                <w:color w:val="0000FF"/>
                <w:w w:val="99"/>
              </w:rPr>
              <w:t>4,588,364</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
              <w:spacing w:after="0"/>
              <w:rPr>
                <w:sz w:val="20"/>
                <w:szCs w:val="20"/>
                <w:color w:val="auto"/>
              </w:rPr>
            </w:pPr>
            <w:r>
              <w:rPr>
                <w:rFonts w:ascii="Times New Roman" w:cs="Times New Roman" w:eastAsia="Times New Roman" w:hAnsi="Times New Roman"/>
                <w:sz w:val="10"/>
                <w:szCs w:val="10"/>
                <w:color w:val="008000"/>
              </w:rPr>
              <w:t>(1)</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4,588,364</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44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4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Class B Common Stock</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6"/>
                <w:szCs w:val="16"/>
                <w:color w:val="0000FF"/>
                <w:w w:val="98"/>
              </w:rPr>
              <w:t>04/20/2026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(3)</w:t>
            </w:r>
          </w:p>
        </w:tc>
        <w:tc>
          <w:tcPr>
            <w:tcW w:w="700" w:type="dxa"/>
            <w:vAlign w:val="bottom"/>
            <w:vMerge w:val="restart"/>
          </w:tcPr>
          <w:p>
            <w:pPr>
              <w:jc w:val="center"/>
              <w:ind w:left="117"/>
              <w:spacing w:after="0"/>
              <w:rPr>
                <w:sz w:val="20"/>
                <w:szCs w:val="20"/>
                <w:color w:val="auto"/>
              </w:rPr>
            </w:pPr>
            <w:r>
              <w:rPr>
                <w:rFonts w:ascii="Times New Roman" w:cs="Times New Roman" w:eastAsia="Times New Roman" w:hAnsi="Times New Roman"/>
                <w:sz w:val="16"/>
                <w:szCs w:val="16"/>
                <w:color w:val="0000FF"/>
                <w:w w:val="99"/>
              </w:rPr>
              <w:t>922,152</w:t>
            </w:r>
          </w:p>
        </w:tc>
        <w:tc>
          <w:tcPr>
            <w:tcW w:w="60" w:type="dxa"/>
            <w:vAlign w:val="bottom"/>
          </w:tcPr>
          <w:p>
            <w:pPr>
              <w:spacing w:after="0"/>
              <w:rPr>
                <w:sz w:val="20"/>
                <w:szCs w:val="2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
              <w:spacing w:after="0"/>
              <w:rPr>
                <w:sz w:val="20"/>
                <w:szCs w:val="20"/>
                <w:color w:val="auto"/>
              </w:rPr>
            </w:pPr>
            <w:r>
              <w:rPr>
                <w:rFonts w:ascii="Times New Roman" w:cs="Times New Roman" w:eastAsia="Times New Roman" w:hAnsi="Times New Roman"/>
                <w:sz w:val="10"/>
                <w:szCs w:val="10"/>
                <w:color w:val="008000"/>
              </w:rPr>
              <w:t>(3)</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5,510,516</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44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4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Class B Common Stock</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6"/>
                <w:szCs w:val="16"/>
                <w:color w:val="0000FF"/>
                <w:w w:val="98"/>
              </w:rPr>
              <w:t>04/20/2026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(4)</w:t>
            </w:r>
          </w:p>
        </w:tc>
        <w:tc>
          <w:tcPr>
            <w:tcW w:w="76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6"/>
                <w:szCs w:val="16"/>
                <w:color w:val="0000FF"/>
                <w:w w:val="99"/>
              </w:rPr>
              <w:t>5,510,516</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vMerge w:val="restart"/>
          </w:tcPr>
          <w:p>
            <w:pPr>
              <w:jc w:val="center"/>
              <w:ind w:left="17"/>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gridSpan w:val="2"/>
            <w:vMerge w:val="restart"/>
          </w:tcPr>
          <w:p>
            <w:pPr>
              <w:jc w:val="center"/>
              <w:ind w:left="313"/>
              <w:spacing w:after="0"/>
              <w:rPr>
                <w:sz w:val="20"/>
                <w:szCs w:val="20"/>
                <w:color w:val="auto"/>
              </w:rPr>
            </w:pPr>
            <w:r>
              <w:rPr>
                <w:rFonts w:ascii="Times New Roman" w:cs="Times New Roman" w:eastAsia="Times New Roman" w:hAnsi="Times New Roman"/>
                <w:sz w:val="16"/>
                <w:szCs w:val="16"/>
                <w:color w:val="0000FF"/>
                <w:w w:val="99"/>
              </w:rPr>
              <w:t>0</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44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6"/>
                <w:szCs w:val="16"/>
                <w:color w:val="0000FF"/>
                <w:w w:val="98"/>
              </w:rPr>
              <w:t>04/20/2026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(4)</w:t>
            </w:r>
          </w:p>
        </w:tc>
        <w:tc>
          <w:tcPr>
            <w:tcW w:w="76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6"/>
                <w:szCs w:val="16"/>
                <w:color w:val="0000FF"/>
                <w:w w:val="99"/>
              </w:rPr>
              <w:t>5,510,516</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
              <w:spacing w:after="0"/>
              <w:rPr>
                <w:sz w:val="20"/>
                <w:szCs w:val="20"/>
                <w:color w:val="auto"/>
              </w:rPr>
            </w:pPr>
            <w:r>
              <w:rPr>
                <w:rFonts w:ascii="Times New Roman" w:cs="Times New Roman" w:eastAsia="Times New Roman" w:hAnsi="Times New Roman"/>
                <w:sz w:val="10"/>
                <w:szCs w:val="10"/>
                <w:color w:val="008000"/>
              </w:rPr>
              <w:t>(4)</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5,510,516</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144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6"/>
                <w:szCs w:val="16"/>
                <w:color w:val="0000FF"/>
                <w:w w:val="98"/>
              </w:rPr>
              <w:t>04/20/2026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(5)</w:t>
            </w:r>
          </w:p>
        </w:tc>
        <w:tc>
          <w:tcPr>
            <w:tcW w:w="700" w:type="dxa"/>
            <w:vAlign w:val="bottom"/>
            <w:vMerge w:val="restart"/>
          </w:tcPr>
          <w:p>
            <w:pPr>
              <w:jc w:val="center"/>
              <w:ind w:left="117"/>
              <w:spacing w:after="0"/>
              <w:rPr>
                <w:sz w:val="20"/>
                <w:szCs w:val="20"/>
                <w:color w:val="auto"/>
              </w:rPr>
            </w:pPr>
            <w:r>
              <w:rPr>
                <w:rFonts w:ascii="Times New Roman" w:cs="Times New Roman" w:eastAsia="Times New Roman" w:hAnsi="Times New Roman"/>
                <w:sz w:val="16"/>
                <w:szCs w:val="16"/>
                <w:color w:val="0000FF"/>
                <w:w w:val="99"/>
              </w:rPr>
              <w:t>346,020</w:t>
            </w:r>
          </w:p>
        </w:tc>
        <w:tc>
          <w:tcPr>
            <w:tcW w:w="60" w:type="dxa"/>
            <w:vAlign w:val="bottom"/>
          </w:tcPr>
          <w:p>
            <w:pPr>
              <w:spacing w:after="0"/>
              <w:rPr>
                <w:sz w:val="20"/>
                <w:szCs w:val="2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
              <w:spacing w:after="0"/>
              <w:rPr>
                <w:sz w:val="20"/>
                <w:szCs w:val="20"/>
                <w:color w:val="auto"/>
              </w:rPr>
            </w:pPr>
            <w:r>
              <w:rPr>
                <w:rFonts w:ascii="Times New Roman" w:cs="Times New Roman" w:eastAsia="Times New Roman" w:hAnsi="Times New Roman"/>
                <w:sz w:val="10"/>
                <w:szCs w:val="10"/>
                <w:color w:val="008000"/>
              </w:rPr>
              <w:t>(5)</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5,856,536</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144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6"/>
                <w:szCs w:val="16"/>
                <w:color w:val="0000FF"/>
                <w:w w:val="98"/>
              </w:rPr>
              <w:t>04/20/2026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(5)</w:t>
            </w:r>
          </w:p>
        </w:tc>
        <w:tc>
          <w:tcPr>
            <w:tcW w:w="700" w:type="dxa"/>
            <w:vAlign w:val="bottom"/>
            <w:vMerge w:val="restart"/>
          </w:tcPr>
          <w:p>
            <w:pPr>
              <w:jc w:val="center"/>
              <w:ind w:left="117"/>
              <w:spacing w:after="0"/>
              <w:rPr>
                <w:sz w:val="20"/>
                <w:szCs w:val="20"/>
                <w:color w:val="auto"/>
              </w:rPr>
            </w:pPr>
            <w:r>
              <w:rPr>
                <w:rFonts w:ascii="Times New Roman" w:cs="Times New Roman" w:eastAsia="Times New Roman" w:hAnsi="Times New Roman"/>
                <w:sz w:val="16"/>
                <w:szCs w:val="16"/>
                <w:color w:val="0000FF"/>
                <w:w w:val="99"/>
              </w:rPr>
              <w:t>271,782</w:t>
            </w:r>
          </w:p>
        </w:tc>
        <w:tc>
          <w:tcPr>
            <w:tcW w:w="60" w:type="dxa"/>
            <w:vAlign w:val="bottom"/>
          </w:tcPr>
          <w:p>
            <w:pPr>
              <w:spacing w:after="0"/>
              <w:rPr>
                <w:sz w:val="20"/>
                <w:szCs w:val="2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
              <w:spacing w:after="0"/>
              <w:rPr>
                <w:sz w:val="20"/>
                <w:szCs w:val="20"/>
                <w:color w:val="auto"/>
              </w:rPr>
            </w:pPr>
            <w:r>
              <w:rPr>
                <w:rFonts w:ascii="Times New Roman" w:cs="Times New Roman" w:eastAsia="Times New Roman" w:hAnsi="Times New Roman"/>
                <w:sz w:val="10"/>
                <w:szCs w:val="10"/>
                <w:color w:val="008000"/>
              </w:rPr>
              <w:t>(5)</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271,782</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144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6"/>
                <w:szCs w:val="16"/>
                <w:color w:val="0000FF"/>
                <w:w w:val="98"/>
              </w:rPr>
              <w:t>04/20/2026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vMerge w:val="restart"/>
          </w:tcPr>
          <w:p>
            <w:pPr>
              <w:jc w:val="center"/>
              <w:ind w:right="247"/>
              <w:spacing w:after="0"/>
              <w:rPr>
                <w:sz w:val="20"/>
                <w:szCs w:val="20"/>
                <w:color w:val="auto"/>
              </w:rPr>
            </w:pPr>
            <w:r>
              <w:rPr>
                <w:rFonts w:ascii="Times New Roman" w:cs="Times New Roman" w:eastAsia="Times New Roman" w:hAnsi="Times New Roman"/>
                <w:sz w:val="12"/>
                <w:szCs w:val="12"/>
                <w:color w:val="0000FF"/>
              </w:rPr>
              <w:t>P</w:t>
            </w:r>
          </w:p>
        </w:tc>
        <w:tc>
          <w:tcPr>
            <w:tcW w:w="700" w:type="dxa"/>
            <w:vAlign w:val="bottom"/>
            <w:vMerge w:val="restart"/>
          </w:tcPr>
          <w:p>
            <w:pPr>
              <w:jc w:val="center"/>
              <w:ind w:left="117"/>
              <w:spacing w:after="0"/>
              <w:rPr>
                <w:sz w:val="20"/>
                <w:szCs w:val="20"/>
                <w:color w:val="auto"/>
              </w:rPr>
            </w:pPr>
            <w:r>
              <w:rPr>
                <w:rFonts w:ascii="Times New Roman" w:cs="Times New Roman" w:eastAsia="Times New Roman" w:hAnsi="Times New Roman"/>
                <w:sz w:val="16"/>
                <w:szCs w:val="16"/>
                <w:color w:val="0000FF"/>
                <w:w w:val="99"/>
              </w:rPr>
              <w:t>235,294</w:t>
            </w:r>
          </w:p>
        </w:tc>
        <w:tc>
          <w:tcPr>
            <w:tcW w:w="60" w:type="dxa"/>
            <w:vAlign w:val="bottom"/>
          </w:tcPr>
          <w:p>
            <w:pPr>
              <w:spacing w:after="0"/>
              <w:rPr>
                <w:sz w:val="20"/>
                <w:szCs w:val="2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3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507,076</w:t>
            </w:r>
          </w:p>
        </w:tc>
        <w:tc>
          <w:tcPr>
            <w:tcW w:w="36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2"/>
        </w:trPr>
        <w:tc>
          <w:tcPr>
            <w:tcW w:w="144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90"/>
        </w:trPr>
        <w:tc>
          <w:tcPr>
            <w:tcW w:w="1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20" w:type="dxa"/>
            <w:vAlign w:val="bottom"/>
            <w:gridSpan w:val="15"/>
          </w:tcPr>
          <w:p>
            <w:pPr>
              <w:jc w:val="center"/>
              <w:ind w:right="164"/>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940" w:type="dxa"/>
            <w:vAlign w:val="bottom"/>
            <w:gridSpan w:val="12"/>
          </w:tcPr>
          <w:p>
            <w:pPr>
              <w:jc w:val="center"/>
              <w:ind w:right="157"/>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jc w:val="center"/>
              <w:ind w:right="2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7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10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jc w:val="center"/>
              <w:ind w:right="24"/>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7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10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8"/>
              </w:rPr>
              <w:t>Code (Instr.</w:t>
            </w:r>
          </w:p>
        </w:tc>
        <w:tc>
          <w:tcPr>
            <w:tcW w:w="10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7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7"/>
              <w:spacing w:after="0" w:line="122"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w w:val="96"/>
              </w:rPr>
              <w:t>(Instr.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Series A-3</w:t>
            </w:r>
          </w:p>
        </w:tc>
        <w:tc>
          <w:tcPr>
            <w:tcW w:w="72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4"/>
                <w:szCs w:val="14"/>
                <w:color w:val="auto"/>
              </w:rPr>
            </w:pPr>
          </w:p>
        </w:tc>
        <w:tc>
          <w:tcPr>
            <w:tcW w:w="500" w:type="dxa"/>
            <w:vAlign w:val="bottom"/>
          </w:tcPr>
          <w:p>
            <w:pPr>
              <w:jc w:val="center"/>
              <w:ind w:right="53"/>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1,321,082</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720" w:type="dxa"/>
            <w:vAlign w:val="bottom"/>
            <w:gridSpan w:val="2"/>
            <w:vMerge w:val="restart"/>
          </w:tcPr>
          <w:p>
            <w:pPr>
              <w:ind w:left="80"/>
              <w:spacing w:after="0" w:line="99" w:lineRule="exact"/>
              <w:rPr>
                <w:sz w:val="20"/>
                <w:szCs w:val="20"/>
                <w:color w:val="auto"/>
              </w:rPr>
            </w:pPr>
            <w:r>
              <w:rPr>
                <w:rFonts w:ascii="Times New Roman" w:cs="Times New Roman" w:eastAsia="Times New Roman" w:hAnsi="Times New Roman"/>
                <w:sz w:val="11"/>
                <w:szCs w:val="11"/>
                <w:color w:val="0000FF"/>
              </w:rPr>
              <w:t>Preferred</w:t>
            </w:r>
          </w:p>
        </w:tc>
        <w:tc>
          <w:tcPr>
            <w:tcW w:w="720" w:type="dxa"/>
            <w:vAlign w:val="bottom"/>
            <w:vMerge w:val="continue"/>
          </w:tcPr>
          <w:p>
            <w:pPr>
              <w:spacing w:after="0"/>
              <w:rPr>
                <w:sz w:val="4"/>
                <w:szCs w:val="4"/>
                <w:color w:val="auto"/>
              </w:rPr>
            </w:pPr>
          </w:p>
        </w:tc>
        <w:tc>
          <w:tcPr>
            <w:tcW w:w="1000" w:type="dxa"/>
            <w:vAlign w:val="bottom"/>
            <w:vMerge w:val="restart"/>
          </w:tcPr>
          <w:p>
            <w:pPr>
              <w:jc w:val="right"/>
              <w:ind w:right="143"/>
              <w:spacing w:after="0" w:line="99" w:lineRule="exact"/>
              <w:rPr>
                <w:sz w:val="20"/>
                <w:szCs w:val="20"/>
                <w:color w:val="auto"/>
              </w:rPr>
            </w:pPr>
            <w:r>
              <w:rPr>
                <w:rFonts w:ascii="Times New Roman" w:cs="Times New Roman" w:eastAsia="Times New Roman" w:hAnsi="Times New Roman"/>
                <w:sz w:val="11"/>
                <w:szCs w:val="11"/>
                <w:color w:val="0000FF"/>
              </w:rPr>
              <w:t>04/20/2026</w:t>
            </w: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vMerge w:val="restart"/>
          </w:tcPr>
          <w:p>
            <w:pPr>
              <w:ind w:left="160"/>
              <w:spacing w:after="0" w:line="99" w:lineRule="exact"/>
              <w:rPr>
                <w:sz w:val="20"/>
                <w:szCs w:val="20"/>
                <w:color w:val="auto"/>
              </w:rPr>
            </w:pPr>
            <w:r>
              <w:rPr>
                <w:rFonts w:ascii="Times New Roman" w:cs="Times New Roman" w:eastAsia="Times New Roman" w:hAnsi="Times New Roman"/>
                <w:sz w:val="11"/>
                <w:szCs w:val="11"/>
                <w:color w:val="0000FF"/>
              </w:rPr>
              <w:t>C</w:t>
            </w:r>
          </w:p>
        </w:tc>
        <w:tc>
          <w:tcPr>
            <w:tcW w:w="1080" w:type="dxa"/>
            <w:vAlign w:val="bottom"/>
            <w:gridSpan w:val="3"/>
            <w:vMerge w:val="restart"/>
          </w:tcPr>
          <w:p>
            <w:pPr>
              <w:jc w:val="center"/>
              <w:ind w:left="145"/>
              <w:spacing w:after="0" w:line="99" w:lineRule="exact"/>
              <w:rPr>
                <w:sz w:val="20"/>
                <w:szCs w:val="20"/>
                <w:color w:val="auto"/>
              </w:rPr>
            </w:pPr>
            <w:r>
              <w:rPr>
                <w:rFonts w:ascii="Times New Roman" w:cs="Times New Roman" w:eastAsia="Times New Roman" w:hAnsi="Times New Roman"/>
                <w:sz w:val="11"/>
                <w:szCs w:val="11"/>
                <w:color w:val="0000FF"/>
              </w:rPr>
              <w:t>3,194,377</w:t>
            </w: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4"/>
                <w:szCs w:val="4"/>
                <w:color w:val="auto"/>
              </w:rPr>
            </w:pPr>
          </w:p>
        </w:tc>
        <w:tc>
          <w:tcPr>
            <w:tcW w:w="740" w:type="dxa"/>
            <w:vAlign w:val="bottom"/>
            <w:gridSpan w:val="2"/>
            <w:vMerge w:val="restart"/>
          </w:tcPr>
          <w:p>
            <w:pPr>
              <w:jc w:val="center"/>
              <w:ind w:right="4"/>
              <w:spacing w:after="0" w:line="98"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440" w:type="dxa"/>
            <w:vAlign w:val="bottom"/>
            <w:vMerge w:val="restart"/>
          </w:tcPr>
          <w:p>
            <w:pPr>
              <w:ind w:left="340"/>
              <w:spacing w:after="0" w:line="99" w:lineRule="exact"/>
              <w:rPr>
                <w:sz w:val="20"/>
                <w:szCs w:val="20"/>
                <w:color w:val="auto"/>
              </w:rPr>
            </w:pPr>
            <w:r>
              <w:rPr>
                <w:rFonts w:ascii="Times New Roman" w:cs="Times New Roman" w:eastAsia="Times New Roman" w:hAnsi="Times New Roman"/>
                <w:sz w:val="11"/>
                <w:szCs w:val="11"/>
                <w:color w:val="0000FF"/>
              </w:rPr>
              <w:t>0</w:t>
            </w:r>
          </w:p>
        </w:tc>
        <w:tc>
          <w:tcPr>
            <w:tcW w:w="360" w:type="dxa"/>
            <w:vAlign w:val="bottom"/>
          </w:tcPr>
          <w:p>
            <w:pPr>
              <w:spacing w:after="0"/>
              <w:rPr>
                <w:sz w:val="4"/>
                <w:szCs w:val="4"/>
                <w:color w:val="auto"/>
              </w:rPr>
            </w:pPr>
          </w:p>
        </w:tc>
        <w:tc>
          <w:tcPr>
            <w:tcW w:w="580" w:type="dxa"/>
            <w:vAlign w:val="bottom"/>
            <w:vMerge w:val="restart"/>
          </w:tcPr>
          <w:p>
            <w:pPr>
              <w:ind w:left="340"/>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72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right w:val="single" w:sz="8" w:color="2C2C2C"/>
            </w:tcBorders>
            <w:gridSpan w:val="3"/>
          </w:tcPr>
          <w:p>
            <w:pPr>
              <w:ind w:left="80"/>
              <w:spacing w:after="0" w:line="52"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center"/>
              <w:ind w:right="73"/>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Series A-4</w:t>
            </w:r>
          </w:p>
        </w:tc>
        <w:tc>
          <w:tcPr>
            <w:tcW w:w="72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4"/>
                <w:szCs w:val="14"/>
                <w:color w:val="auto"/>
              </w:rPr>
            </w:pPr>
          </w:p>
        </w:tc>
        <w:tc>
          <w:tcPr>
            <w:tcW w:w="500" w:type="dxa"/>
            <w:vAlign w:val="bottom"/>
          </w:tcPr>
          <w:p>
            <w:pPr>
              <w:jc w:val="center"/>
              <w:ind w:right="53"/>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1,183,832</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720" w:type="dxa"/>
            <w:vAlign w:val="bottom"/>
            <w:gridSpan w:val="2"/>
            <w:vMerge w:val="restart"/>
          </w:tcPr>
          <w:p>
            <w:pPr>
              <w:ind w:left="80"/>
              <w:spacing w:after="0" w:line="99" w:lineRule="exact"/>
              <w:rPr>
                <w:sz w:val="20"/>
                <w:szCs w:val="20"/>
                <w:color w:val="auto"/>
              </w:rPr>
            </w:pPr>
            <w:r>
              <w:rPr>
                <w:rFonts w:ascii="Times New Roman" w:cs="Times New Roman" w:eastAsia="Times New Roman" w:hAnsi="Times New Roman"/>
                <w:sz w:val="11"/>
                <w:szCs w:val="11"/>
                <w:color w:val="0000FF"/>
              </w:rPr>
              <w:t>Preferred</w:t>
            </w:r>
          </w:p>
        </w:tc>
        <w:tc>
          <w:tcPr>
            <w:tcW w:w="720" w:type="dxa"/>
            <w:vAlign w:val="bottom"/>
            <w:vMerge w:val="continue"/>
          </w:tcPr>
          <w:p>
            <w:pPr>
              <w:spacing w:after="0"/>
              <w:rPr>
                <w:sz w:val="4"/>
                <w:szCs w:val="4"/>
                <w:color w:val="auto"/>
              </w:rPr>
            </w:pPr>
          </w:p>
        </w:tc>
        <w:tc>
          <w:tcPr>
            <w:tcW w:w="1000" w:type="dxa"/>
            <w:vAlign w:val="bottom"/>
            <w:vMerge w:val="restart"/>
          </w:tcPr>
          <w:p>
            <w:pPr>
              <w:jc w:val="right"/>
              <w:ind w:right="143"/>
              <w:spacing w:after="0" w:line="99" w:lineRule="exact"/>
              <w:rPr>
                <w:sz w:val="20"/>
                <w:szCs w:val="20"/>
                <w:color w:val="auto"/>
              </w:rPr>
            </w:pPr>
            <w:r>
              <w:rPr>
                <w:rFonts w:ascii="Times New Roman" w:cs="Times New Roman" w:eastAsia="Times New Roman" w:hAnsi="Times New Roman"/>
                <w:sz w:val="11"/>
                <w:szCs w:val="11"/>
                <w:color w:val="0000FF"/>
              </w:rPr>
              <w:t>04/20/2026</w:t>
            </w: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vMerge w:val="restart"/>
          </w:tcPr>
          <w:p>
            <w:pPr>
              <w:ind w:left="160"/>
              <w:spacing w:after="0" w:line="99" w:lineRule="exact"/>
              <w:rPr>
                <w:sz w:val="20"/>
                <w:szCs w:val="20"/>
                <w:color w:val="auto"/>
              </w:rPr>
            </w:pPr>
            <w:r>
              <w:rPr>
                <w:rFonts w:ascii="Times New Roman" w:cs="Times New Roman" w:eastAsia="Times New Roman" w:hAnsi="Times New Roman"/>
                <w:sz w:val="11"/>
                <w:szCs w:val="11"/>
                <w:color w:val="0000FF"/>
              </w:rPr>
              <w:t>C</w:t>
            </w:r>
          </w:p>
        </w:tc>
        <w:tc>
          <w:tcPr>
            <w:tcW w:w="1080" w:type="dxa"/>
            <w:vAlign w:val="bottom"/>
            <w:gridSpan w:val="3"/>
            <w:vMerge w:val="restart"/>
          </w:tcPr>
          <w:p>
            <w:pPr>
              <w:jc w:val="center"/>
              <w:ind w:left="145"/>
              <w:spacing w:after="0" w:line="99" w:lineRule="exact"/>
              <w:rPr>
                <w:sz w:val="20"/>
                <w:szCs w:val="20"/>
                <w:color w:val="auto"/>
              </w:rPr>
            </w:pPr>
            <w:r>
              <w:rPr>
                <w:rFonts w:ascii="Times New Roman" w:cs="Times New Roman" w:eastAsia="Times New Roman" w:hAnsi="Times New Roman"/>
                <w:sz w:val="11"/>
                <w:szCs w:val="11"/>
                <w:color w:val="0000FF"/>
              </w:rPr>
              <w:t>2,862,507</w:t>
            </w: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4"/>
                <w:szCs w:val="4"/>
                <w:color w:val="auto"/>
              </w:rPr>
            </w:pPr>
          </w:p>
        </w:tc>
        <w:tc>
          <w:tcPr>
            <w:tcW w:w="740" w:type="dxa"/>
            <w:vAlign w:val="bottom"/>
            <w:gridSpan w:val="2"/>
            <w:vMerge w:val="restart"/>
          </w:tcPr>
          <w:p>
            <w:pPr>
              <w:jc w:val="center"/>
              <w:ind w:right="4"/>
              <w:spacing w:after="0" w:line="98"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440" w:type="dxa"/>
            <w:vAlign w:val="bottom"/>
            <w:vMerge w:val="restart"/>
          </w:tcPr>
          <w:p>
            <w:pPr>
              <w:ind w:left="340"/>
              <w:spacing w:after="0" w:line="99" w:lineRule="exact"/>
              <w:rPr>
                <w:sz w:val="20"/>
                <w:szCs w:val="20"/>
                <w:color w:val="auto"/>
              </w:rPr>
            </w:pPr>
            <w:r>
              <w:rPr>
                <w:rFonts w:ascii="Times New Roman" w:cs="Times New Roman" w:eastAsia="Times New Roman" w:hAnsi="Times New Roman"/>
                <w:sz w:val="11"/>
                <w:szCs w:val="11"/>
                <w:color w:val="0000FF"/>
              </w:rPr>
              <w:t>0</w:t>
            </w:r>
          </w:p>
        </w:tc>
        <w:tc>
          <w:tcPr>
            <w:tcW w:w="360" w:type="dxa"/>
            <w:vAlign w:val="bottom"/>
          </w:tcPr>
          <w:p>
            <w:pPr>
              <w:spacing w:after="0"/>
              <w:rPr>
                <w:sz w:val="4"/>
                <w:szCs w:val="4"/>
                <w:color w:val="auto"/>
              </w:rPr>
            </w:pPr>
          </w:p>
        </w:tc>
        <w:tc>
          <w:tcPr>
            <w:tcW w:w="580" w:type="dxa"/>
            <w:vAlign w:val="bottom"/>
            <w:vMerge w:val="restart"/>
          </w:tcPr>
          <w:p>
            <w:pPr>
              <w:ind w:left="340"/>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72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right w:val="single" w:sz="8" w:color="2C2C2C"/>
            </w:tcBorders>
            <w:gridSpan w:val="3"/>
          </w:tcPr>
          <w:p>
            <w:pPr>
              <w:ind w:left="80"/>
              <w:spacing w:after="0" w:line="52"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center"/>
              <w:ind w:right="73"/>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Series B</w:t>
            </w:r>
          </w:p>
        </w:tc>
        <w:tc>
          <w:tcPr>
            <w:tcW w:w="72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(3)</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14"/>
                <w:szCs w:val="14"/>
                <w:color w:val="auto"/>
              </w:rPr>
            </w:pPr>
          </w:p>
        </w:tc>
        <w:tc>
          <w:tcPr>
            <w:tcW w:w="500" w:type="dxa"/>
            <w:vAlign w:val="bottom"/>
          </w:tcPr>
          <w:p>
            <w:pPr>
              <w:jc w:val="center"/>
              <w:ind w:right="53"/>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922,152</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720" w:type="dxa"/>
            <w:vAlign w:val="bottom"/>
            <w:gridSpan w:val="2"/>
            <w:vMerge w:val="restart"/>
          </w:tcPr>
          <w:p>
            <w:pPr>
              <w:ind w:left="80"/>
              <w:spacing w:after="0" w:line="99" w:lineRule="exact"/>
              <w:rPr>
                <w:sz w:val="20"/>
                <w:szCs w:val="20"/>
                <w:color w:val="auto"/>
              </w:rPr>
            </w:pPr>
            <w:r>
              <w:rPr>
                <w:rFonts w:ascii="Times New Roman" w:cs="Times New Roman" w:eastAsia="Times New Roman" w:hAnsi="Times New Roman"/>
                <w:sz w:val="11"/>
                <w:szCs w:val="11"/>
                <w:color w:val="0000FF"/>
              </w:rPr>
              <w:t>Preferred</w:t>
            </w:r>
          </w:p>
        </w:tc>
        <w:tc>
          <w:tcPr>
            <w:tcW w:w="720" w:type="dxa"/>
            <w:vAlign w:val="bottom"/>
            <w:vMerge w:val="continue"/>
          </w:tcPr>
          <w:p>
            <w:pPr>
              <w:spacing w:after="0"/>
              <w:rPr>
                <w:sz w:val="4"/>
                <w:szCs w:val="4"/>
                <w:color w:val="auto"/>
              </w:rPr>
            </w:pPr>
          </w:p>
        </w:tc>
        <w:tc>
          <w:tcPr>
            <w:tcW w:w="1000" w:type="dxa"/>
            <w:vAlign w:val="bottom"/>
            <w:vMerge w:val="restart"/>
          </w:tcPr>
          <w:p>
            <w:pPr>
              <w:jc w:val="right"/>
              <w:ind w:right="143"/>
              <w:spacing w:after="0" w:line="99" w:lineRule="exact"/>
              <w:rPr>
                <w:sz w:val="20"/>
                <w:szCs w:val="20"/>
                <w:color w:val="auto"/>
              </w:rPr>
            </w:pPr>
            <w:r>
              <w:rPr>
                <w:rFonts w:ascii="Times New Roman" w:cs="Times New Roman" w:eastAsia="Times New Roman" w:hAnsi="Times New Roman"/>
                <w:sz w:val="11"/>
                <w:szCs w:val="11"/>
                <w:color w:val="0000FF"/>
              </w:rPr>
              <w:t>04/20/2026</w:t>
            </w: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vMerge w:val="restart"/>
          </w:tcPr>
          <w:p>
            <w:pPr>
              <w:ind w:left="160"/>
              <w:spacing w:after="0" w:line="99" w:lineRule="exact"/>
              <w:rPr>
                <w:sz w:val="20"/>
                <w:szCs w:val="20"/>
                <w:color w:val="auto"/>
              </w:rPr>
            </w:pPr>
            <w:r>
              <w:rPr>
                <w:rFonts w:ascii="Times New Roman" w:cs="Times New Roman" w:eastAsia="Times New Roman" w:hAnsi="Times New Roman"/>
                <w:sz w:val="11"/>
                <w:szCs w:val="11"/>
                <w:color w:val="0000FF"/>
              </w:rPr>
              <w:t>C</w:t>
            </w:r>
          </w:p>
        </w:tc>
        <w:tc>
          <w:tcPr>
            <w:tcW w:w="1080" w:type="dxa"/>
            <w:vAlign w:val="bottom"/>
            <w:gridSpan w:val="3"/>
            <w:vMerge w:val="restart"/>
          </w:tcPr>
          <w:p>
            <w:pPr>
              <w:jc w:val="center"/>
              <w:ind w:left="145"/>
              <w:spacing w:after="0" w:line="99" w:lineRule="exact"/>
              <w:rPr>
                <w:sz w:val="20"/>
                <w:szCs w:val="20"/>
                <w:color w:val="auto"/>
              </w:rPr>
            </w:pPr>
            <w:r>
              <w:rPr>
                <w:rFonts w:ascii="Times New Roman" w:cs="Times New Roman" w:eastAsia="Times New Roman" w:hAnsi="Times New Roman"/>
                <w:sz w:val="11"/>
                <w:szCs w:val="11"/>
                <w:color w:val="0000FF"/>
              </w:rPr>
              <w:t>2,094,266</w:t>
            </w: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4"/>
                <w:szCs w:val="4"/>
                <w:color w:val="auto"/>
              </w:rPr>
            </w:pPr>
          </w:p>
        </w:tc>
        <w:tc>
          <w:tcPr>
            <w:tcW w:w="740" w:type="dxa"/>
            <w:vAlign w:val="bottom"/>
            <w:gridSpan w:val="2"/>
            <w:vMerge w:val="restart"/>
          </w:tcPr>
          <w:p>
            <w:pPr>
              <w:jc w:val="center"/>
              <w:ind w:right="4"/>
              <w:spacing w:after="0" w:line="98"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440" w:type="dxa"/>
            <w:vAlign w:val="bottom"/>
            <w:vMerge w:val="restart"/>
          </w:tcPr>
          <w:p>
            <w:pPr>
              <w:ind w:left="340"/>
              <w:spacing w:after="0" w:line="99" w:lineRule="exact"/>
              <w:rPr>
                <w:sz w:val="20"/>
                <w:szCs w:val="20"/>
                <w:color w:val="auto"/>
              </w:rPr>
            </w:pPr>
            <w:r>
              <w:rPr>
                <w:rFonts w:ascii="Times New Roman" w:cs="Times New Roman" w:eastAsia="Times New Roman" w:hAnsi="Times New Roman"/>
                <w:sz w:val="11"/>
                <w:szCs w:val="11"/>
                <w:color w:val="0000FF"/>
              </w:rPr>
              <w:t>0</w:t>
            </w:r>
          </w:p>
        </w:tc>
        <w:tc>
          <w:tcPr>
            <w:tcW w:w="360" w:type="dxa"/>
            <w:vAlign w:val="bottom"/>
          </w:tcPr>
          <w:p>
            <w:pPr>
              <w:spacing w:after="0"/>
              <w:rPr>
                <w:sz w:val="4"/>
                <w:szCs w:val="4"/>
                <w:color w:val="auto"/>
              </w:rPr>
            </w:pPr>
          </w:p>
        </w:tc>
        <w:tc>
          <w:tcPr>
            <w:tcW w:w="580" w:type="dxa"/>
            <w:vAlign w:val="bottom"/>
            <w:vMerge w:val="restart"/>
          </w:tcPr>
          <w:p>
            <w:pPr>
              <w:ind w:left="340"/>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72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right w:val="single" w:sz="8" w:color="2C2C2C"/>
            </w:tcBorders>
            <w:gridSpan w:val="3"/>
          </w:tcPr>
          <w:p>
            <w:pPr>
              <w:ind w:left="80"/>
              <w:spacing w:after="0" w:line="52"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center"/>
              <w:ind w:right="73"/>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Series C</w:t>
            </w:r>
          </w:p>
        </w:tc>
        <w:tc>
          <w:tcPr>
            <w:tcW w:w="72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4"/>
                <w:szCs w:val="14"/>
                <w:color w:val="auto"/>
              </w:rPr>
            </w:pPr>
          </w:p>
        </w:tc>
        <w:tc>
          <w:tcPr>
            <w:tcW w:w="500" w:type="dxa"/>
            <w:vAlign w:val="bottom"/>
          </w:tcPr>
          <w:p>
            <w:pPr>
              <w:jc w:val="center"/>
              <w:ind w:right="53"/>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2,083,450</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720" w:type="dxa"/>
            <w:vAlign w:val="bottom"/>
            <w:gridSpan w:val="2"/>
            <w:vMerge w:val="restart"/>
          </w:tcPr>
          <w:p>
            <w:pPr>
              <w:ind w:left="80"/>
              <w:spacing w:after="0" w:line="99" w:lineRule="exact"/>
              <w:rPr>
                <w:sz w:val="20"/>
                <w:szCs w:val="20"/>
                <w:color w:val="auto"/>
              </w:rPr>
            </w:pPr>
            <w:r>
              <w:rPr>
                <w:rFonts w:ascii="Times New Roman" w:cs="Times New Roman" w:eastAsia="Times New Roman" w:hAnsi="Times New Roman"/>
                <w:sz w:val="11"/>
                <w:szCs w:val="11"/>
                <w:color w:val="0000FF"/>
              </w:rPr>
              <w:t>Preferred</w:t>
            </w:r>
          </w:p>
        </w:tc>
        <w:tc>
          <w:tcPr>
            <w:tcW w:w="720" w:type="dxa"/>
            <w:vAlign w:val="bottom"/>
            <w:vMerge w:val="continue"/>
          </w:tcPr>
          <w:p>
            <w:pPr>
              <w:spacing w:after="0"/>
              <w:rPr>
                <w:sz w:val="4"/>
                <w:szCs w:val="4"/>
                <w:color w:val="auto"/>
              </w:rPr>
            </w:pPr>
          </w:p>
        </w:tc>
        <w:tc>
          <w:tcPr>
            <w:tcW w:w="1000" w:type="dxa"/>
            <w:vAlign w:val="bottom"/>
            <w:vMerge w:val="restart"/>
          </w:tcPr>
          <w:p>
            <w:pPr>
              <w:jc w:val="right"/>
              <w:ind w:right="143"/>
              <w:spacing w:after="0" w:line="99" w:lineRule="exact"/>
              <w:rPr>
                <w:sz w:val="20"/>
                <w:szCs w:val="20"/>
                <w:color w:val="auto"/>
              </w:rPr>
            </w:pPr>
            <w:r>
              <w:rPr>
                <w:rFonts w:ascii="Times New Roman" w:cs="Times New Roman" w:eastAsia="Times New Roman" w:hAnsi="Times New Roman"/>
                <w:sz w:val="11"/>
                <w:szCs w:val="11"/>
                <w:color w:val="0000FF"/>
              </w:rPr>
              <w:t>04/20/2026</w:t>
            </w: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vMerge w:val="restart"/>
          </w:tcPr>
          <w:p>
            <w:pPr>
              <w:ind w:left="160"/>
              <w:spacing w:after="0" w:line="99" w:lineRule="exact"/>
              <w:rPr>
                <w:sz w:val="20"/>
                <w:szCs w:val="20"/>
                <w:color w:val="auto"/>
              </w:rPr>
            </w:pPr>
            <w:r>
              <w:rPr>
                <w:rFonts w:ascii="Times New Roman" w:cs="Times New Roman" w:eastAsia="Times New Roman" w:hAnsi="Times New Roman"/>
                <w:sz w:val="11"/>
                <w:szCs w:val="11"/>
                <w:color w:val="0000FF"/>
              </w:rPr>
              <w:t>C</w:t>
            </w:r>
          </w:p>
        </w:tc>
        <w:tc>
          <w:tcPr>
            <w:tcW w:w="1080" w:type="dxa"/>
            <w:vAlign w:val="bottom"/>
            <w:gridSpan w:val="3"/>
            <w:vMerge w:val="restart"/>
          </w:tcPr>
          <w:p>
            <w:pPr>
              <w:jc w:val="center"/>
              <w:ind w:left="145"/>
              <w:spacing w:after="0" w:line="99" w:lineRule="exact"/>
              <w:rPr>
                <w:sz w:val="20"/>
                <w:szCs w:val="20"/>
                <w:color w:val="auto"/>
              </w:rPr>
            </w:pPr>
            <w:r>
              <w:rPr>
                <w:rFonts w:ascii="Times New Roman" w:cs="Times New Roman" w:eastAsia="Times New Roman" w:hAnsi="Times New Roman"/>
                <w:sz w:val="11"/>
                <w:szCs w:val="11"/>
                <w:color w:val="0000FF"/>
              </w:rPr>
              <w:t>5,037,783</w:t>
            </w: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4"/>
                <w:szCs w:val="4"/>
                <w:color w:val="auto"/>
              </w:rPr>
            </w:pPr>
          </w:p>
        </w:tc>
        <w:tc>
          <w:tcPr>
            <w:tcW w:w="740" w:type="dxa"/>
            <w:vAlign w:val="bottom"/>
            <w:gridSpan w:val="2"/>
            <w:vMerge w:val="restart"/>
          </w:tcPr>
          <w:p>
            <w:pPr>
              <w:jc w:val="center"/>
              <w:ind w:right="4"/>
              <w:spacing w:after="0" w:line="98"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440" w:type="dxa"/>
            <w:vAlign w:val="bottom"/>
            <w:vMerge w:val="restart"/>
          </w:tcPr>
          <w:p>
            <w:pPr>
              <w:ind w:left="340"/>
              <w:spacing w:after="0" w:line="99" w:lineRule="exact"/>
              <w:rPr>
                <w:sz w:val="20"/>
                <w:szCs w:val="20"/>
                <w:color w:val="auto"/>
              </w:rPr>
            </w:pPr>
            <w:r>
              <w:rPr>
                <w:rFonts w:ascii="Times New Roman" w:cs="Times New Roman" w:eastAsia="Times New Roman" w:hAnsi="Times New Roman"/>
                <w:sz w:val="11"/>
                <w:szCs w:val="11"/>
                <w:color w:val="0000FF"/>
              </w:rPr>
              <w:t>0</w:t>
            </w:r>
          </w:p>
        </w:tc>
        <w:tc>
          <w:tcPr>
            <w:tcW w:w="360" w:type="dxa"/>
            <w:vAlign w:val="bottom"/>
          </w:tcPr>
          <w:p>
            <w:pPr>
              <w:spacing w:after="0"/>
              <w:rPr>
                <w:sz w:val="4"/>
                <w:szCs w:val="4"/>
                <w:color w:val="auto"/>
              </w:rPr>
            </w:pPr>
          </w:p>
        </w:tc>
        <w:tc>
          <w:tcPr>
            <w:tcW w:w="580" w:type="dxa"/>
            <w:vAlign w:val="bottom"/>
            <w:vMerge w:val="restart"/>
          </w:tcPr>
          <w:p>
            <w:pPr>
              <w:ind w:left="340"/>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72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right w:val="single" w:sz="8" w:color="2C2C2C"/>
            </w:tcBorders>
            <w:gridSpan w:val="3"/>
          </w:tcPr>
          <w:p>
            <w:pPr>
              <w:ind w:left="80"/>
              <w:spacing w:after="0" w:line="52"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center"/>
              <w:ind w:right="73"/>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Convertible</w:t>
            </w:r>
          </w:p>
        </w:tc>
        <w:tc>
          <w:tcPr>
            <w:tcW w:w="72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(5)</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346,020</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Promissory</w:t>
            </w:r>
          </w:p>
        </w:tc>
        <w:tc>
          <w:tcPr>
            <w:tcW w:w="720" w:type="dxa"/>
            <w:vAlign w:val="bottom"/>
            <w:vMerge w:val="continue"/>
          </w:tcPr>
          <w:p>
            <w:pPr>
              <w:spacing w:after="0"/>
              <w:rPr>
                <w:sz w:val="4"/>
                <w:szCs w:val="4"/>
                <w:color w:val="auto"/>
              </w:rPr>
            </w:pPr>
          </w:p>
        </w:tc>
        <w:tc>
          <w:tcPr>
            <w:tcW w:w="1000" w:type="dxa"/>
            <w:vAlign w:val="bottom"/>
            <w:vMerge w:val="restart"/>
          </w:tcPr>
          <w:p>
            <w:pPr>
              <w:jc w:val="right"/>
              <w:ind w:right="143"/>
              <w:spacing w:after="0"/>
              <w:rPr>
                <w:sz w:val="20"/>
                <w:szCs w:val="20"/>
                <w:color w:val="auto"/>
              </w:rPr>
            </w:pPr>
            <w:r>
              <w:rPr>
                <w:rFonts w:ascii="Times New Roman" w:cs="Times New Roman" w:eastAsia="Times New Roman" w:hAnsi="Times New Roman"/>
                <w:sz w:val="12"/>
                <w:szCs w:val="12"/>
                <w:color w:val="0000FF"/>
              </w:rPr>
              <w:t>04/20/2026</w:t>
            </w: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80" w:type="dxa"/>
            <w:vAlign w:val="bottom"/>
            <w:gridSpan w:val="3"/>
            <w:vMerge w:val="restart"/>
          </w:tcPr>
          <w:p>
            <w:pPr>
              <w:jc w:val="center"/>
              <w:ind w:left="165"/>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5,000,000</w:t>
            </w: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restart"/>
          </w:tcPr>
          <w:p>
            <w:pPr>
              <w:jc w:val="center"/>
              <w:ind w:right="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0</w:t>
            </w:r>
          </w:p>
        </w:tc>
        <w:tc>
          <w:tcPr>
            <w:tcW w:w="360" w:type="dxa"/>
            <w:vAlign w:val="bottom"/>
          </w:tcPr>
          <w:p>
            <w:pPr>
              <w:spacing w:after="0"/>
              <w:rPr>
                <w:sz w:val="4"/>
                <w:szCs w:val="4"/>
                <w:color w:val="auto"/>
              </w:rPr>
            </w:pP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7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jc w:val="center"/>
              <w:ind w:right="73"/>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47" w:lineRule="exact"/>
              <w:rPr>
                <w:sz w:val="20"/>
                <w:szCs w:val="20"/>
                <w:color w:val="auto"/>
              </w:rPr>
            </w:pPr>
            <w:r>
              <w:rPr>
                <w:rFonts w:ascii="Times New Roman" w:cs="Times New Roman" w:eastAsia="Times New Roman" w:hAnsi="Times New Roman"/>
                <w:sz w:val="10"/>
                <w:szCs w:val="10"/>
                <w:color w:val="0000FF"/>
              </w:rPr>
              <w:t>Footnote</w:t>
            </w:r>
            <w:r>
              <w:rPr>
                <w:rFonts w:ascii="Times New Roman" w:cs="Times New Roman" w:eastAsia="Times New Roman" w:hAnsi="Times New Roman"/>
                <w:sz w:val="16"/>
                <w:szCs w:val="16"/>
                <w:color w:val="008000"/>
                <w:vertAlign w:val="superscript"/>
              </w:rPr>
              <w:t>(2)</w:t>
            </w:r>
          </w:p>
        </w:tc>
        <w:tc>
          <w:tcPr>
            <w:tcW w:w="0" w:type="dxa"/>
            <w:vAlign w:val="bottom"/>
          </w:tcPr>
          <w:p>
            <w:pPr>
              <w:spacing w:after="0"/>
              <w:rPr>
                <w:sz w:val="1"/>
                <w:szCs w:val="1"/>
                <w:color w:val="auto"/>
              </w:rPr>
            </w:pPr>
          </w:p>
        </w:tc>
      </w:tr>
      <w:tr>
        <w:trPr>
          <w:trHeight w:val="68"/>
        </w:trPr>
        <w:tc>
          <w:tcPr>
            <w:tcW w:w="72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720" w:type="dxa"/>
            <w:vAlign w:val="bottom"/>
            <w:tcBorders>
              <w:bottom w:val="single" w:sz="8" w:color="2C2C2C"/>
            </w:tcBorders>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Note</w:t>
            </w:r>
          </w:p>
        </w:tc>
        <w:tc>
          <w:tcPr>
            <w:tcW w:w="7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Convertible</w:t>
            </w:r>
          </w:p>
        </w:tc>
        <w:tc>
          <w:tcPr>
            <w:tcW w:w="72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(5)</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271,782</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Promissory</w:t>
            </w:r>
          </w:p>
        </w:tc>
        <w:tc>
          <w:tcPr>
            <w:tcW w:w="720" w:type="dxa"/>
            <w:vAlign w:val="bottom"/>
            <w:vMerge w:val="continue"/>
          </w:tcPr>
          <w:p>
            <w:pPr>
              <w:spacing w:after="0"/>
              <w:rPr>
                <w:sz w:val="4"/>
                <w:szCs w:val="4"/>
                <w:color w:val="auto"/>
              </w:rPr>
            </w:pPr>
          </w:p>
        </w:tc>
        <w:tc>
          <w:tcPr>
            <w:tcW w:w="1000" w:type="dxa"/>
            <w:vAlign w:val="bottom"/>
            <w:vMerge w:val="restart"/>
          </w:tcPr>
          <w:p>
            <w:pPr>
              <w:jc w:val="right"/>
              <w:ind w:right="143"/>
              <w:spacing w:after="0"/>
              <w:rPr>
                <w:sz w:val="20"/>
                <w:szCs w:val="20"/>
                <w:color w:val="auto"/>
              </w:rPr>
            </w:pPr>
            <w:r>
              <w:rPr>
                <w:rFonts w:ascii="Times New Roman" w:cs="Times New Roman" w:eastAsia="Times New Roman" w:hAnsi="Times New Roman"/>
                <w:sz w:val="12"/>
                <w:szCs w:val="12"/>
                <w:color w:val="0000FF"/>
              </w:rPr>
              <w:t>04/20/2026</w:t>
            </w: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80" w:type="dxa"/>
            <w:vAlign w:val="bottom"/>
            <w:gridSpan w:val="3"/>
            <w:vMerge w:val="restart"/>
          </w:tcPr>
          <w:p>
            <w:pPr>
              <w:jc w:val="center"/>
              <w:ind w:left="1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3,927,259.98</w:t>
            </w: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vMerge w:val="restart"/>
          </w:tcPr>
          <w:p>
            <w:pPr>
              <w:jc w:val="center"/>
              <w:ind w:right="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0</w:t>
            </w:r>
          </w:p>
        </w:tc>
        <w:tc>
          <w:tcPr>
            <w:tcW w:w="360" w:type="dxa"/>
            <w:vAlign w:val="bottom"/>
          </w:tcPr>
          <w:p>
            <w:pPr>
              <w:spacing w:after="0"/>
              <w:rPr>
                <w:sz w:val="4"/>
                <w:szCs w:val="4"/>
                <w:color w:val="auto"/>
              </w:rPr>
            </w:pP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7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jc w:val="center"/>
              <w:ind w:right="73"/>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47" w:lineRule="exact"/>
              <w:rPr>
                <w:sz w:val="20"/>
                <w:szCs w:val="20"/>
                <w:color w:val="auto"/>
              </w:rPr>
            </w:pPr>
            <w:r>
              <w:rPr>
                <w:rFonts w:ascii="Times New Roman" w:cs="Times New Roman" w:eastAsia="Times New Roman" w:hAnsi="Times New Roman"/>
                <w:sz w:val="10"/>
                <w:szCs w:val="10"/>
                <w:color w:val="0000FF"/>
              </w:rPr>
              <w:t>Footnote</w:t>
            </w:r>
            <w:r>
              <w:rPr>
                <w:rFonts w:ascii="Times New Roman" w:cs="Times New Roman" w:eastAsia="Times New Roman" w:hAnsi="Times New Roman"/>
                <w:sz w:val="16"/>
                <w:szCs w:val="16"/>
                <w:color w:val="008000"/>
                <w:vertAlign w:val="superscript"/>
              </w:rPr>
              <w:t>(6)</w:t>
            </w:r>
          </w:p>
        </w:tc>
        <w:tc>
          <w:tcPr>
            <w:tcW w:w="0" w:type="dxa"/>
            <w:vAlign w:val="bottom"/>
          </w:tcPr>
          <w:p>
            <w:pPr>
              <w:spacing w:after="0"/>
              <w:rPr>
                <w:sz w:val="1"/>
                <w:szCs w:val="1"/>
                <w:color w:val="auto"/>
              </w:rPr>
            </w:pPr>
          </w:p>
        </w:tc>
      </w:tr>
      <w:tr>
        <w:trPr>
          <w:trHeight w:val="68"/>
        </w:trPr>
        <w:tc>
          <w:tcPr>
            <w:tcW w:w="72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720" w:type="dxa"/>
            <w:vAlign w:val="bottom"/>
            <w:tcBorders>
              <w:bottom w:val="single" w:sz="8" w:color="2C2C2C"/>
            </w:tcBorders>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Note</w:t>
            </w:r>
          </w:p>
        </w:tc>
        <w:tc>
          <w:tcPr>
            <w:tcW w:w="72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40" w:type="dxa"/>
            <w:vAlign w:val="bottom"/>
            <w:tcBorders>
              <w:top w:val="single" w:sz="8" w:color="2C2C2C"/>
            </w:tcBorders>
            <w:gridSpan w:val="4"/>
          </w:tcPr>
          <w:p>
            <w:pPr>
              <w:ind w:left="80"/>
              <w:spacing w:after="0" w:line="215"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400" w:type="dxa"/>
            <w:vAlign w:val="bottom"/>
            <w:gridSpan w:val="5"/>
          </w:tcPr>
          <w:p>
            <w:pPr>
              <w:spacing w:after="0" w:line="20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Illumina Innovation Fund II GP, L.L.C.</w:t>
              </w:r>
            </w:hyperlink>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1000" w:type="dxa"/>
            <w:vAlign w:val="bottom"/>
          </w:tcPr>
          <w:p>
            <w:pPr>
              <w:ind w:left="80"/>
              <w:spacing w:after="0"/>
              <w:rPr>
                <w:sz w:val="20"/>
                <w:szCs w:val="20"/>
                <w:color w:val="auto"/>
              </w:rPr>
            </w:pPr>
            <w:r>
              <w:rPr>
                <w:rFonts w:ascii="Arial" w:cs="Arial" w:eastAsia="Arial" w:hAnsi="Arial"/>
                <w:sz w:val="12"/>
                <w:szCs w:val="12"/>
                <w:color w:val="auto"/>
              </w:rPr>
              <w:t>(First)</w:t>
            </w:r>
          </w:p>
        </w:tc>
        <w:tc>
          <w:tcPr>
            <w:tcW w:w="1060" w:type="dxa"/>
            <w:vAlign w:val="bottom"/>
            <w:gridSpan w:val="2"/>
          </w:tcPr>
          <w:p>
            <w:pPr>
              <w:ind w:left="4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-3779520</wp:posOffset>
            </wp:positionV>
            <wp:extent cx="27940" cy="3187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940" cy="3187700"/>
                    </a:xfrm>
                    <a:prstGeom prst="rect">
                      <a:avLst/>
                    </a:prstGeom>
                    <a:noFill/>
                  </pic:spPr>
                </pic:pic>
              </a:graphicData>
            </a:graphic>
          </wp:anchor>
        </w:drawing>
      </w:r>
    </w:p>
    <w:p>
      <w:pPr>
        <w:sectPr>
          <w:pgSz w:w="11900" w:h="16838" w:orient="portrait"/>
          <w:cols w:equalWidth="0" w:num="1">
            <w:col w:w="11080"/>
          </w:cols>
          <w:pgMar w:left="460" w:top="212" w:right="359" w:bottom="22" w:gutter="0" w:footer="0" w:header="0"/>
          <w:type w:val="continuous"/>
        </w:sectPr>
      </w:pPr>
    </w:p>
    <w:p>
      <w:pPr>
        <w:spacing w:after="0" w:line="4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5"/>
          <w:szCs w:val="15"/>
          <w:color w:val="0000FF"/>
        </w:rPr>
        <w:t>500 LINCOLN CENTRE DRIVE, SUITE 110</w:t>
      </w:r>
    </w:p>
    <w:p>
      <w:pPr>
        <w:sectPr>
          <w:pgSz w:w="11900" w:h="16838" w:orient="portrait"/>
          <w:cols w:equalWidth="0" w:num="1">
            <w:col w:w="11080"/>
          </w:cols>
          <w:pgMar w:left="460" w:top="212" w:right="359" w:bottom="2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30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14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7"/>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FOSTER CITY</w:t>
            </w:r>
          </w:p>
        </w:tc>
        <w:tc>
          <w:tcPr>
            <w:tcW w:w="14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94404</w:t>
            </w:r>
          </w:p>
        </w:tc>
        <w:tc>
          <w:tcPr>
            <w:tcW w:w="8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tcPr>
          <w:p>
            <w:pPr>
              <w:ind w:left="22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1"/>
        </w:trPr>
        <w:tc>
          <w:tcPr>
            <w:tcW w:w="2700" w:type="dxa"/>
            <w:vAlign w:val="bottom"/>
            <w:gridSpan w:val="3"/>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2600" w:type="dxa"/>
            <w:vAlign w:val="bottom"/>
            <w:tcBorders>
              <w:bottom w:val="single" w:sz="8" w:color="0000EE"/>
            </w:tcBorders>
            <w:gridSpan w:val="2"/>
          </w:tcPr>
          <w:p>
            <w:pPr>
              <w:spacing w:after="0" w:line="208" w:lineRule="exact"/>
              <w:rPr>
                <w:rFonts w:ascii="Times New Roman" w:cs="Times New Roman" w:eastAsia="Times New Roman" w:hAnsi="Times New Roman"/>
                <w:sz w:val="20"/>
                <w:szCs w:val="20"/>
                <w:color w:val="0000EE"/>
                <w:w w:val="96"/>
              </w:rPr>
            </w:pPr>
            <w:hyperlink r:id="rId17">
              <w:r>
                <w:rPr>
                  <w:rFonts w:ascii="Times New Roman" w:cs="Times New Roman" w:eastAsia="Times New Roman" w:hAnsi="Times New Roman"/>
                  <w:sz w:val="20"/>
                  <w:szCs w:val="20"/>
                  <w:color w:val="0000EE"/>
                  <w:w w:val="96"/>
                </w:rPr>
                <w:t>Illumina Innovation Fund II, L.P.</w:t>
              </w:r>
            </w:hyperlink>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(Last)</w:t>
            </w:r>
          </w:p>
        </w:tc>
        <w:tc>
          <w:tcPr>
            <w:tcW w:w="1400" w:type="dxa"/>
            <w:vAlign w:val="bottom"/>
          </w:tcPr>
          <w:p>
            <w:pPr>
              <w:ind w:left="22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500 LINCOLN CENTRE DRIVE</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4"/>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SUITE 110</w:t>
            </w: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39"/>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5"/>
        </w:trPr>
        <w:tc>
          <w:tcPr>
            <w:tcW w:w="130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1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FOSTER CITY</w:t>
            </w:r>
          </w:p>
        </w:tc>
        <w:tc>
          <w:tcPr>
            <w:tcW w:w="14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94404</w:t>
            </w:r>
          </w:p>
        </w:tc>
        <w:tc>
          <w:tcPr>
            <w:tcW w:w="8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tcPr>
          <w:p>
            <w:pPr>
              <w:ind w:left="22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-2146935</wp:posOffset>
            </wp:positionV>
            <wp:extent cx="2815590" cy="7127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15590" cy="7127240"/>
                    </a:xfrm>
                    <a:prstGeom prst="rect">
                      <a:avLst/>
                    </a:prstGeom>
                    <a:noFill/>
                  </pic:spPr>
                </pic:pic>
              </a:graphicData>
            </a:graphic>
          </wp:anchor>
        </w:drawing>
      </w:r>
    </w:p>
    <w:p>
      <w:pPr>
        <w:spacing w:after="0" w:line="99"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Illumina Innovation Fund III GP, L.L.C.</w:t>
        </w:r>
      </w:hyperlink>
    </w:p>
    <w:p>
      <w:pPr>
        <w:spacing w:after="0" w:line="273"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500 LINCOLN CENTRE DRIVE</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SUITE 110</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30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7"/>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FOSTER CITY</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CA</w:t>
            </w:r>
          </w:p>
        </w:tc>
        <w:tc>
          <w:tcPr>
            <w:tcW w:w="15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94404</w:t>
            </w:r>
          </w:p>
        </w:tc>
        <w:tc>
          <w:tcPr>
            <w:tcW w:w="8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220"/>
              <w:spacing w:after="0"/>
              <w:rPr>
                <w:sz w:val="20"/>
                <w:szCs w:val="20"/>
                <w:color w:val="auto"/>
              </w:rPr>
            </w:pPr>
            <w:r>
              <w:rPr>
                <w:rFonts w:ascii="Arial" w:cs="Arial" w:eastAsia="Arial" w:hAnsi="Arial"/>
                <w:sz w:val="12"/>
                <w:szCs w:val="12"/>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2"/>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1"/>
        </w:trPr>
        <w:tc>
          <w:tcPr>
            <w:tcW w:w="2760" w:type="dxa"/>
            <w:vAlign w:val="bottom"/>
            <w:gridSpan w:val="4"/>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2660" w:type="dxa"/>
            <w:vAlign w:val="bottom"/>
            <w:tcBorders>
              <w:bottom w:val="single" w:sz="8" w:color="0000EE"/>
            </w:tcBorders>
            <w:gridSpan w:val="3"/>
          </w:tcPr>
          <w:p>
            <w:pPr>
              <w:spacing w:after="0" w:line="208" w:lineRule="exact"/>
              <w:rPr>
                <w:rFonts w:ascii="Times New Roman" w:cs="Times New Roman" w:eastAsia="Times New Roman" w:hAnsi="Times New Roman"/>
                <w:sz w:val="20"/>
                <w:szCs w:val="20"/>
                <w:color w:val="0000EE"/>
                <w:w w:val="96"/>
              </w:rPr>
            </w:pPr>
            <w:hyperlink r:id="rId20">
              <w:r>
                <w:rPr>
                  <w:rFonts w:ascii="Times New Roman" w:cs="Times New Roman" w:eastAsia="Times New Roman" w:hAnsi="Times New Roman"/>
                  <w:sz w:val="20"/>
                  <w:szCs w:val="20"/>
                  <w:color w:val="0000EE"/>
                  <w:w w:val="96"/>
                </w:rPr>
                <w:t>Illumina Innovation Fund III, L.P.</w:t>
              </w:r>
            </w:hyperlink>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gridSpan w:val="2"/>
          </w:tcPr>
          <w:p>
            <w:pPr>
              <w:ind w:left="220"/>
              <w:spacing w:after="0"/>
              <w:rPr>
                <w:sz w:val="20"/>
                <w:szCs w:val="20"/>
                <w:color w:val="auto"/>
              </w:rPr>
            </w:pPr>
            <w:r>
              <w:rPr>
                <w:rFonts w:ascii="Arial" w:cs="Arial" w:eastAsia="Arial" w:hAnsi="Arial"/>
                <w:sz w:val="12"/>
                <w:szCs w:val="12"/>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500 LINCOLN CENTRE DRIVE</w:t>
            </w: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4"/>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SUITE 110</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39"/>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5"/>
        </w:trPr>
        <w:tc>
          <w:tcPr>
            <w:tcW w:w="130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FOSTER CITY</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CA</w:t>
            </w:r>
          </w:p>
        </w:tc>
        <w:tc>
          <w:tcPr>
            <w:tcW w:w="15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94404</w:t>
            </w:r>
          </w:p>
        </w:tc>
        <w:tc>
          <w:tcPr>
            <w:tcW w:w="8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220"/>
              <w:spacing w:after="0"/>
              <w:rPr>
                <w:sz w:val="20"/>
                <w:szCs w:val="20"/>
                <w:color w:val="auto"/>
              </w:rPr>
            </w:pPr>
            <w:r>
              <w:rPr>
                <w:rFonts w:ascii="Arial" w:cs="Arial" w:eastAsia="Arial" w:hAnsi="Arial"/>
                <w:sz w:val="12"/>
                <w:szCs w:val="12"/>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2"/>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1"/>
        </w:trPr>
        <w:tc>
          <w:tcPr>
            <w:tcW w:w="2760" w:type="dxa"/>
            <w:vAlign w:val="bottom"/>
            <w:gridSpan w:val="4"/>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2660" w:type="dxa"/>
            <w:vAlign w:val="bottom"/>
            <w:gridSpan w:val="3"/>
          </w:tcPr>
          <w:p>
            <w:pPr>
              <w:spacing w:after="0" w:line="208"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Naclerio Nicholas</w:t>
              </w:r>
            </w:hyperlink>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5"/>
        </w:trPr>
        <w:tc>
          <w:tcPr>
            <w:tcW w:w="100" w:type="dxa"/>
            <w:vAlign w:val="bottom"/>
          </w:tcPr>
          <w:p>
            <w:pPr>
              <w:spacing w:after="0"/>
              <w:rPr>
                <w:sz w:val="13"/>
                <w:szCs w:val="13"/>
                <w:color w:val="auto"/>
              </w:rPr>
            </w:pPr>
          </w:p>
        </w:tc>
        <w:tc>
          <w:tcPr>
            <w:tcW w:w="120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(Last)</w:t>
            </w:r>
          </w:p>
        </w:tc>
        <w:tc>
          <w:tcPr>
            <w:tcW w:w="1460" w:type="dxa"/>
            <w:vAlign w:val="bottom"/>
            <w:gridSpan w:val="2"/>
          </w:tcPr>
          <w:p>
            <w:pPr>
              <w:ind w:left="220"/>
              <w:spacing w:after="0"/>
              <w:rPr>
                <w:sz w:val="20"/>
                <w:szCs w:val="20"/>
                <w:color w:val="auto"/>
              </w:rPr>
            </w:pPr>
            <w:r>
              <w:rPr>
                <w:rFonts w:ascii="Arial" w:cs="Arial" w:eastAsia="Arial" w:hAnsi="Arial"/>
                <w:sz w:val="12"/>
                <w:szCs w:val="12"/>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500 LINCOLN CENTRE DRIVE</w:t>
            </w: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4"/>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SUITE 110</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39"/>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5"/>
        </w:trPr>
        <w:tc>
          <w:tcPr>
            <w:tcW w:w="130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FOSTER CITY</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CA</w:t>
            </w:r>
          </w:p>
        </w:tc>
        <w:tc>
          <w:tcPr>
            <w:tcW w:w="15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94404</w:t>
            </w:r>
          </w:p>
        </w:tc>
        <w:tc>
          <w:tcPr>
            <w:tcW w:w="8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220"/>
              <w:spacing w:after="0"/>
              <w:rPr>
                <w:sz w:val="20"/>
                <w:szCs w:val="20"/>
                <w:color w:val="auto"/>
              </w:rPr>
            </w:pPr>
            <w:r>
              <w:rPr>
                <w:rFonts w:ascii="Arial" w:cs="Arial" w:eastAsia="Arial" w:hAnsi="Arial"/>
                <w:sz w:val="12"/>
                <w:szCs w:val="12"/>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(Zip)</w:t>
            </w:r>
          </w:p>
        </w:tc>
      </w:tr>
    </w:tbl>
    <w:p>
      <w:pPr>
        <w:spacing w:after="0" w:line="12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40" w:right="20" w:hanging="6"/>
        <w:spacing w:after="0" w:line="251"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Series A-3 Preferred Stock, Series A-4 Preferred Stock and Series C Preferred Stock are convertible into shares of Class B Common Stock on a 1-for-2.418 basis and have no expiration date. The Series A-3 Preferred Stock, Series A-4 Preferred Stock and Series C Preferred Stock automatically converted into shares of Class B Common Stock in connection with the closing of the initial public offering of the Issuer's Common Stock (the "IPO").</w:t>
      </w:r>
    </w:p>
    <w:p>
      <w:pPr>
        <w:spacing w:after="0" w:line="18" w:lineRule="exact"/>
        <w:rPr>
          <w:rFonts w:ascii="Times New Roman" w:cs="Times New Roman" w:eastAsia="Times New Roman" w:hAnsi="Times New Roman"/>
          <w:sz w:val="12"/>
          <w:szCs w:val="12"/>
          <w:color w:val="008000"/>
        </w:rPr>
      </w:pPr>
    </w:p>
    <w:p>
      <w:pPr>
        <w:ind w:left="40" w:right="180" w:hanging="6"/>
        <w:spacing w:after="0" w:line="251"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are held by Illumina Innovation Fund II, L.P. ("IIF II"). Illumina Innovation Fund II GP, L.L.C. ("IIF II GP") is the general partner of IIF II. Nicholas Naclerio ("Mr. Naclerio"), a member of the Issuer's board of directors, is the sole managing member of IIF II GP and may be deemed to have voting, investment and dispositive power with respect to the securities held by IIF II. Each of IIF II GP and Mr. Naclerio disclaim beneficial ownership over the securities held by IIF II, except to the extent of their respective pecuniary interests therein, if any.</w:t>
      </w:r>
    </w:p>
    <w:p>
      <w:pPr>
        <w:spacing w:after="0" w:line="18" w:lineRule="exact"/>
        <w:rPr>
          <w:rFonts w:ascii="Times New Roman" w:cs="Times New Roman" w:eastAsia="Times New Roman" w:hAnsi="Times New Roman"/>
          <w:sz w:val="12"/>
          <w:szCs w:val="12"/>
          <w:color w:val="008000"/>
        </w:rPr>
      </w:pPr>
    </w:p>
    <w:p>
      <w:pPr>
        <w:ind w:left="40" w:right="10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Series B Preferred Stock is convertible into shares of Class B Common Stock on a 1-for-2.271 basis and has no expiration date. The Series B Preferred Stock automatically converted into shares of Class B Common Stock in connection with the closing of the IPO.</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was reclassified into one share of Common Stock immediately prior to the completion of the IPO.</w:t>
      </w:r>
    </w:p>
    <w:p>
      <w:pPr>
        <w:spacing w:after="0" w:line="45" w:lineRule="exact"/>
        <w:rPr>
          <w:rFonts w:ascii="Times New Roman" w:cs="Times New Roman" w:eastAsia="Times New Roman" w:hAnsi="Times New Roman"/>
          <w:sz w:val="12"/>
          <w:szCs w:val="12"/>
          <w:color w:val="008000"/>
        </w:rPr>
      </w:pPr>
    </w:p>
    <w:p>
      <w:pPr>
        <w:ind w:left="4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a convertible note that is convertible into shares of Common Stock of the Issuer. The convertible note has a maturity date of July 8, 2027. The principal amount of the convertible note was automatically converted into shares of Common Stock of the Issuer upon the closing of the Issuer's IPO at a conversion price equal to the initial public offering price of the Issuer's Common Stock multiplied by 0.85.</w:t>
      </w:r>
    </w:p>
    <w:p>
      <w:pPr>
        <w:spacing w:after="0" w:line="8" w:lineRule="exact"/>
        <w:rPr>
          <w:rFonts w:ascii="Times New Roman" w:cs="Times New Roman" w:eastAsia="Times New Roman" w:hAnsi="Times New Roman"/>
          <w:sz w:val="12"/>
          <w:szCs w:val="12"/>
          <w:color w:val="008000"/>
        </w:rPr>
      </w:pPr>
    </w:p>
    <w:p>
      <w:pPr>
        <w:ind w:left="40" w:right="40" w:hanging="6"/>
        <w:spacing w:after="0" w:line="251"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are held by Illumina Innovation Fund III, L.P. ("IIF III"). Illumina Innovation Fund III GP, L.L.C. ("IIF III GP") is the general partner of IIF III. Mr. Naclerio, a member of the Issuer's board of directors, is the sole managing member of IIF III GP and may be deemed to have voting, investment and dispositive power with respect to the securities held by IIF III. Each of IIF III GP and Mr. Naclerio disclaim beneficial ownership over the securities held by IIF III, except to the extent of their respective pecuniary interests therein, if any.</w:t>
      </w:r>
    </w:p>
    <w:p>
      <w:pPr>
        <w:sectPr>
          <w:pgSz w:w="11900" w:h="16838" w:orient="portrait"/>
          <w:cols w:equalWidth="0" w:num="1">
            <w:col w:w="10940"/>
          </w:cols>
          <w:pgMar w:left="460" w:top="128" w:right="499" w:bottom="0" w:gutter="0" w:footer="0" w:header="0"/>
        </w:sectPr>
      </w:pPr>
    </w:p>
    <w:p>
      <w:pPr>
        <w:spacing w:after="0" w:line="4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Nicholas Naclerio,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0</wp:posOffset>
            </wp:positionV>
            <wp:extent cx="13093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09370" cy="7620"/>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Member of Illumina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12788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Fund 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7581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58190" cy="7620"/>
                    </a:xfrm>
                    <a:prstGeom prst="rect">
                      <a:avLst/>
                    </a:prstGeom>
                    <a:noFill/>
                  </pic:spPr>
                </pic:pic>
              </a:graphicData>
            </a:graphic>
          </wp:anchor>
        </w:drawing>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Nicholas Naclerio,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0</wp:posOffset>
            </wp:positionV>
            <wp:extent cx="13093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09370" cy="7620"/>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Member of Illumina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127889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Fund II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12534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534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partner of Illumina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12223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2237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5067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06730" cy="7620"/>
                    </a:xfrm>
                    <a:prstGeom prst="rect">
                      <a:avLst/>
                    </a:prstGeom>
                    <a:noFill/>
                  </pic:spPr>
                </pic:pic>
              </a:graphicData>
            </a:graphic>
          </wp:anchor>
        </w:drawing>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Nicholas Naclerio,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0</wp:posOffset>
            </wp:positionV>
            <wp:extent cx="130937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09370" cy="7620"/>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Member of Illumina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12788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Fund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79184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91845" cy="7620"/>
                    </a:xfrm>
                    <a:prstGeom prst="rect">
                      <a:avLst/>
                    </a:prstGeom>
                    <a:noFill/>
                  </pic:spPr>
                </pic:pic>
              </a:graphicData>
            </a:graphic>
          </wp:anchor>
        </w:drawing>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Nicholas Naclerio,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0</wp:posOffset>
            </wp:positionV>
            <wp:extent cx="130937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309370" cy="7620"/>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Member of Illumina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127889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Fund III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-7620</wp:posOffset>
            </wp:positionV>
            <wp:extent cx="128714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871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45910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45910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4591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04/20/2026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45910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ectPr>
          <w:pgSz w:w="11900" w:h="16838" w:orient="portrait"/>
          <w:cols w:equalWidth="0" w:num="2">
            <w:col w:w="8660" w:space="140"/>
            <w:col w:w="2140"/>
          </w:cols>
          <w:pgMar w:left="460" w:top="128" w:right="499" w:bottom="0" w:gutter="0" w:footer="0" w:header="0"/>
          <w:type w:val="continuous"/>
        </w:sectPr>
      </w:pPr>
    </w:p>
    <w:bookmarkStart w:id="2" w:name="page3"/>
    <w:bookmarkEnd w:id="2"/>
    <w:p>
      <w:pPr>
        <w:ind w:left="6566"/>
        <w:spacing w:after="0"/>
        <w:rPr>
          <w:sz w:val="20"/>
          <w:szCs w:val="20"/>
          <w:color w:val="auto"/>
        </w:rPr>
      </w:pPr>
      <w:r>
        <w:rPr>
          <w:rFonts w:ascii="Times New Roman" w:cs="Times New Roman" w:eastAsia="Times New Roman" w:hAnsi="Times New Roman"/>
          <w:sz w:val="16"/>
          <w:szCs w:val="16"/>
          <w:color w:val="0000FF"/>
        </w:rPr>
        <w:t>partner of Illumina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-6985</wp:posOffset>
            </wp:positionV>
            <wp:extent cx="122237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22375" cy="7620"/>
                    </a:xfrm>
                    <a:prstGeom prst="rect">
                      <a:avLst/>
                    </a:prstGeom>
                    <a:noFill/>
                  </pic:spPr>
                </pic:pic>
              </a:graphicData>
            </a:graphic>
          </wp:anchor>
        </w:drawing>
      </w:r>
    </w:p>
    <w:p>
      <w:pPr>
        <w:spacing w:after="0" w:line="3"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-14605</wp:posOffset>
            </wp:positionV>
            <wp:extent cx="5403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40385" cy="7620"/>
                    </a:xfrm>
                    <a:prstGeom prst="rect">
                      <a:avLst/>
                    </a:prstGeom>
                    <a:noFill/>
                  </pic:spPr>
                </pic:pic>
              </a:graphicData>
            </a:graphic>
          </wp:anchor>
        </w:drawing>
      </w:r>
    </w:p>
    <w:p>
      <w:pPr>
        <w:spacing w:after="0" w:line="16" w:lineRule="exact"/>
        <w:rPr>
          <w:sz w:val="20"/>
          <w:szCs w:val="20"/>
          <w:color w:val="auto"/>
        </w:rPr>
      </w:pPr>
    </w:p>
    <w:tbl>
      <w:tblPr>
        <w:tblLayout w:type="fixed"/>
        <w:tblInd w:w="6566" w:type="dxa"/>
        <w:tblCellMar>
          <w:top w:w="0" w:type="dxa"/>
          <w:left w:w="0" w:type="dxa"/>
          <w:bottom w:w="0" w:type="dxa"/>
          <w:right w:w="0" w:type="dxa"/>
        </w:tblCellMar>
      </w:tblPr>
      <w:tr>
        <w:trPr>
          <w:trHeight w:val="184"/>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Nicholas Naclerio</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w w:val="95"/>
              </w:rPr>
              <w:t>04/20/2026</w:t>
            </w:r>
          </w:p>
        </w:tc>
      </w:tr>
      <w:tr>
        <w:trPr>
          <w:trHeight w:val="20"/>
        </w:trPr>
        <w:tc>
          <w:tcPr>
            <w:tcW w:w="1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3"/>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3" w:lineRule="exact"/>
        <w:rPr>
          <w:sz w:val="20"/>
          <w:szCs w:val="20"/>
          <w:color w:val="auto"/>
        </w:rPr>
      </w:pPr>
    </w:p>
    <w:p>
      <w:pPr>
        <w:ind w:left="6"/>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6" w:right="2919" w:hanging="6"/>
        <w:spacing w:after="0" w:line="318"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6"/>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5"/>
      </w:cols>
      <w:pgMar w:left="494"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3" Type="http://schemas.openxmlformats.org/officeDocument/2006/relationships/hyperlink" Target="http://www.sec.gov/cgi-bin/browse-edgar?action=getcompany&amp;CIK=0001779219" TargetMode="External"/><Relationship Id="rId14" Type="http://schemas.openxmlformats.org/officeDocument/2006/relationships/hyperlink" Target="http://www.sec.gov/cgi-bin/browse-edgar?action=getcompany&amp;CIK=0002104204" TargetMode="External"/><Relationship Id="rId17" Type="http://schemas.openxmlformats.org/officeDocument/2006/relationships/hyperlink" Target="http://www.sec.gov/cgi-bin/browse-edgar?action=getcompany&amp;CIK=0001779218" TargetMode="External"/><Relationship Id="rId19" Type="http://schemas.openxmlformats.org/officeDocument/2006/relationships/hyperlink" Target="http://www.sec.gov/cgi-bin/browse-edgar?action=getcompany&amp;CIK=0002032563" TargetMode="External"/><Relationship Id="rId20" Type="http://schemas.openxmlformats.org/officeDocument/2006/relationships/hyperlink" Target="http://www.sec.gov/cgi-bin/browse-edgar?action=getcompany&amp;CIK=0002032562" TargetMode="External"/><Relationship Id="rId21" Type="http://schemas.openxmlformats.org/officeDocument/2006/relationships/hyperlink" Target="http://www.sec.gov/cgi-bin/browse-edgar?action=getcompany&amp;CIK=00015341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2026-04-20T19:48:08Z</dcterms:created>
  <dcterms:modified xsi:type="dcterms:W3CDTF">2026-04-20T19:48:08Z</dcterms:modified>
</cp:coreProperties>
</file>